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E50" w:rsidRDefault="00695E50" w:rsidP="00695E50">
      <w:pPr>
        <w:rPr>
          <w:rFonts w:cs="Calibri"/>
          <w:b/>
          <w:bCs/>
          <w:sz w:val="96"/>
          <w:szCs w:val="96"/>
        </w:rPr>
      </w:pPr>
    </w:p>
    <w:p w:rsidR="00753900" w:rsidRPr="002731E5" w:rsidRDefault="00753900" w:rsidP="00695E50">
      <w:pPr>
        <w:rPr>
          <w:rFonts w:cs="Calibri"/>
          <w:sz w:val="96"/>
          <w:szCs w:val="96"/>
        </w:rPr>
      </w:pPr>
    </w:p>
    <w:p w:rsidR="00695E50" w:rsidRPr="002731E5" w:rsidRDefault="00695E50" w:rsidP="00695E50">
      <w:pPr>
        <w:rPr>
          <w:rFonts w:cs="Calibri"/>
          <w:b/>
          <w:bCs/>
          <w:sz w:val="96"/>
          <w:szCs w:val="96"/>
        </w:rPr>
      </w:pPr>
      <w:r>
        <w:rPr>
          <w:rFonts w:cs="Calibri"/>
          <w:b/>
          <w:bCs/>
          <w:sz w:val="96"/>
          <w:szCs w:val="96"/>
        </w:rPr>
        <w:t>Equality &amp; Diversity Policy</w:t>
      </w:r>
    </w:p>
    <w:p w:rsidR="00695E50" w:rsidRPr="002731E5" w:rsidRDefault="00695E50" w:rsidP="00695E50">
      <w:pPr>
        <w:rPr>
          <w:rFonts w:cs="Calibri"/>
          <w:b/>
          <w:bCs/>
          <w:sz w:val="96"/>
          <w:szCs w:val="96"/>
        </w:rPr>
      </w:pPr>
    </w:p>
    <w:p w:rsidR="00695E50" w:rsidRDefault="00695E50" w:rsidP="00695E50">
      <w:pPr>
        <w:rPr>
          <w:rFonts w:cs="Calibri"/>
          <w:b/>
          <w:bCs/>
          <w:sz w:val="96"/>
          <w:szCs w:val="96"/>
        </w:rPr>
      </w:pPr>
      <w:r w:rsidRPr="002731E5">
        <w:rPr>
          <w:rFonts w:cs="Calibri"/>
          <w:b/>
          <w:bCs/>
          <w:sz w:val="96"/>
          <w:szCs w:val="96"/>
        </w:rPr>
        <w:t>Version 1</w:t>
      </w:r>
    </w:p>
    <w:p w:rsidR="00753900" w:rsidRDefault="00753900" w:rsidP="00695E50">
      <w:pPr>
        <w:rPr>
          <w:rFonts w:cs="Calibri"/>
          <w:b/>
          <w:bCs/>
          <w:sz w:val="96"/>
          <w:szCs w:val="96"/>
        </w:rPr>
      </w:pPr>
    </w:p>
    <w:p w:rsidR="00753900" w:rsidRPr="002731E5" w:rsidRDefault="00753900" w:rsidP="00695E50">
      <w:pPr>
        <w:rPr>
          <w:rFonts w:cs="Calibri"/>
          <w:b/>
          <w:bCs/>
          <w:sz w:val="96"/>
          <w:szCs w:val="96"/>
        </w:rPr>
      </w:pPr>
      <w:r>
        <w:rPr>
          <w:rFonts w:cs="Calibri"/>
          <w:b/>
          <w:bCs/>
          <w:sz w:val="96"/>
          <w:szCs w:val="96"/>
        </w:rPr>
        <w:t>Date</w:t>
      </w:r>
    </w:p>
    <w:p w:rsidR="00695E50" w:rsidRPr="002731E5" w:rsidRDefault="00695E50" w:rsidP="00695E50">
      <w:pPr>
        <w:rPr>
          <w:rFonts w:cs="Calibri"/>
          <w:b/>
          <w:bCs/>
          <w:sz w:val="96"/>
          <w:szCs w:val="96"/>
        </w:rPr>
      </w:pPr>
    </w:p>
    <w:p w:rsidR="00D504F0" w:rsidRDefault="00D504F0">
      <w:pPr>
        <w:pStyle w:val="TOCHeading"/>
        <w:rPr>
          <w:rFonts w:asciiTheme="minorHAnsi" w:eastAsiaTheme="minorHAnsi" w:hAnsiTheme="minorHAnsi" w:cstheme="minorBidi"/>
          <w:b w:val="0"/>
          <w:bCs w:val="0"/>
          <w:color w:val="auto"/>
          <w:sz w:val="24"/>
          <w:szCs w:val="22"/>
          <w:lang w:val="en-GB"/>
        </w:rPr>
      </w:pPr>
    </w:p>
    <w:p w:rsidR="00D504F0" w:rsidRDefault="00D504F0" w:rsidP="00D504F0"/>
    <w:p w:rsidR="00D504F0" w:rsidRDefault="00D504F0" w:rsidP="00D504F0"/>
    <w:p w:rsidR="00D504F0" w:rsidRPr="00D504F0" w:rsidRDefault="00D504F0" w:rsidP="00D504F0"/>
    <w:sdt>
      <w:sdtPr>
        <w:rPr>
          <w:rFonts w:asciiTheme="minorHAnsi" w:eastAsiaTheme="minorHAnsi" w:hAnsiTheme="minorHAnsi" w:cstheme="minorBidi"/>
          <w:b w:val="0"/>
          <w:bCs w:val="0"/>
          <w:color w:val="auto"/>
          <w:sz w:val="24"/>
          <w:szCs w:val="22"/>
          <w:lang w:val="en-GB"/>
        </w:rPr>
        <w:id w:val="31494563"/>
        <w:docPartObj>
          <w:docPartGallery w:val="Table of Contents"/>
          <w:docPartUnique/>
        </w:docPartObj>
      </w:sdtPr>
      <w:sdtEndPr/>
      <w:sdtContent>
        <w:p w:rsidR="009157BD" w:rsidRDefault="009157BD">
          <w:pPr>
            <w:pStyle w:val="TOCHeading"/>
          </w:pPr>
          <w:r>
            <w:t>Contents</w:t>
          </w:r>
        </w:p>
        <w:p w:rsidR="006275EC" w:rsidRDefault="0041718A">
          <w:pPr>
            <w:pStyle w:val="TOC1"/>
            <w:tabs>
              <w:tab w:val="right" w:leader="dot" w:pos="10456"/>
            </w:tabs>
            <w:rPr>
              <w:rFonts w:eastAsiaTheme="minorEastAsia"/>
              <w:noProof/>
              <w:sz w:val="22"/>
              <w:lang w:eastAsia="en-GB"/>
            </w:rPr>
          </w:pPr>
          <w:r>
            <w:fldChar w:fldCharType="begin"/>
          </w:r>
          <w:r w:rsidR="009157BD">
            <w:instrText xml:space="preserve"> TOC \o "1-3" \h \z \u </w:instrText>
          </w:r>
          <w:r>
            <w:fldChar w:fldCharType="separate"/>
          </w:r>
          <w:hyperlink w:anchor="_Toc54862964" w:history="1">
            <w:r w:rsidR="006275EC" w:rsidRPr="000D5283">
              <w:rPr>
                <w:rStyle w:val="Hyperlink"/>
                <w:noProof/>
              </w:rPr>
              <w:t>Introduction</w:t>
            </w:r>
            <w:r w:rsidR="006275EC">
              <w:rPr>
                <w:noProof/>
                <w:webHidden/>
              </w:rPr>
              <w:tab/>
            </w:r>
            <w:r w:rsidR="006275EC">
              <w:rPr>
                <w:noProof/>
                <w:webHidden/>
              </w:rPr>
              <w:fldChar w:fldCharType="begin"/>
            </w:r>
            <w:r w:rsidR="006275EC">
              <w:rPr>
                <w:noProof/>
                <w:webHidden/>
              </w:rPr>
              <w:instrText xml:space="preserve"> PAGEREF _Toc54862964 \h </w:instrText>
            </w:r>
            <w:r w:rsidR="006275EC">
              <w:rPr>
                <w:noProof/>
                <w:webHidden/>
              </w:rPr>
            </w:r>
            <w:r w:rsidR="006275EC">
              <w:rPr>
                <w:noProof/>
                <w:webHidden/>
              </w:rPr>
              <w:fldChar w:fldCharType="separate"/>
            </w:r>
            <w:r w:rsidR="006275EC">
              <w:rPr>
                <w:noProof/>
                <w:webHidden/>
              </w:rPr>
              <w:t>2</w:t>
            </w:r>
            <w:r w:rsidR="006275EC">
              <w:rPr>
                <w:noProof/>
                <w:webHidden/>
              </w:rPr>
              <w:fldChar w:fldCharType="end"/>
            </w:r>
          </w:hyperlink>
        </w:p>
        <w:p w:rsidR="006275EC" w:rsidRDefault="0090219E">
          <w:pPr>
            <w:pStyle w:val="TOC1"/>
            <w:tabs>
              <w:tab w:val="right" w:leader="dot" w:pos="10456"/>
            </w:tabs>
            <w:rPr>
              <w:rFonts w:eastAsiaTheme="minorEastAsia"/>
              <w:noProof/>
              <w:sz w:val="22"/>
              <w:lang w:eastAsia="en-GB"/>
            </w:rPr>
          </w:pPr>
          <w:hyperlink w:anchor="_Toc54862965" w:history="1">
            <w:r w:rsidR="006275EC" w:rsidRPr="000D5283">
              <w:rPr>
                <w:rStyle w:val="Hyperlink"/>
                <w:noProof/>
              </w:rPr>
              <w:t>Definitions</w:t>
            </w:r>
            <w:r w:rsidR="006275EC">
              <w:rPr>
                <w:noProof/>
                <w:webHidden/>
              </w:rPr>
              <w:tab/>
            </w:r>
            <w:r w:rsidR="006275EC">
              <w:rPr>
                <w:noProof/>
                <w:webHidden/>
              </w:rPr>
              <w:fldChar w:fldCharType="begin"/>
            </w:r>
            <w:r w:rsidR="006275EC">
              <w:rPr>
                <w:noProof/>
                <w:webHidden/>
              </w:rPr>
              <w:instrText xml:space="preserve"> PAGEREF _Toc54862965 \h </w:instrText>
            </w:r>
            <w:r w:rsidR="006275EC">
              <w:rPr>
                <w:noProof/>
                <w:webHidden/>
              </w:rPr>
            </w:r>
            <w:r w:rsidR="006275EC">
              <w:rPr>
                <w:noProof/>
                <w:webHidden/>
              </w:rPr>
              <w:fldChar w:fldCharType="separate"/>
            </w:r>
            <w:r w:rsidR="006275EC">
              <w:rPr>
                <w:noProof/>
                <w:webHidden/>
              </w:rPr>
              <w:t>3</w:t>
            </w:r>
            <w:r w:rsidR="006275EC">
              <w:rPr>
                <w:noProof/>
                <w:webHidden/>
              </w:rPr>
              <w:fldChar w:fldCharType="end"/>
            </w:r>
          </w:hyperlink>
        </w:p>
        <w:p w:rsidR="006275EC" w:rsidRDefault="0090219E">
          <w:pPr>
            <w:pStyle w:val="TOC2"/>
            <w:tabs>
              <w:tab w:val="right" w:leader="dot" w:pos="10456"/>
            </w:tabs>
            <w:rPr>
              <w:rFonts w:eastAsiaTheme="minorEastAsia"/>
              <w:noProof/>
              <w:sz w:val="22"/>
              <w:lang w:eastAsia="en-GB"/>
            </w:rPr>
          </w:pPr>
          <w:hyperlink w:anchor="_Toc54862966" w:history="1">
            <w:r w:rsidR="006275EC" w:rsidRPr="000D5283">
              <w:rPr>
                <w:rStyle w:val="Hyperlink"/>
                <w:noProof/>
              </w:rPr>
              <w:t>Protected Characteristics</w:t>
            </w:r>
            <w:r w:rsidR="006275EC">
              <w:rPr>
                <w:noProof/>
                <w:webHidden/>
              </w:rPr>
              <w:tab/>
            </w:r>
            <w:r w:rsidR="006275EC">
              <w:rPr>
                <w:noProof/>
                <w:webHidden/>
              </w:rPr>
              <w:fldChar w:fldCharType="begin"/>
            </w:r>
            <w:r w:rsidR="006275EC">
              <w:rPr>
                <w:noProof/>
                <w:webHidden/>
              </w:rPr>
              <w:instrText xml:space="preserve"> PAGEREF _Toc54862966 \h </w:instrText>
            </w:r>
            <w:r w:rsidR="006275EC">
              <w:rPr>
                <w:noProof/>
                <w:webHidden/>
              </w:rPr>
            </w:r>
            <w:r w:rsidR="006275EC">
              <w:rPr>
                <w:noProof/>
                <w:webHidden/>
              </w:rPr>
              <w:fldChar w:fldCharType="separate"/>
            </w:r>
            <w:r w:rsidR="006275EC">
              <w:rPr>
                <w:noProof/>
                <w:webHidden/>
              </w:rPr>
              <w:t>3</w:t>
            </w:r>
            <w:r w:rsidR="006275EC">
              <w:rPr>
                <w:noProof/>
                <w:webHidden/>
              </w:rPr>
              <w:fldChar w:fldCharType="end"/>
            </w:r>
          </w:hyperlink>
        </w:p>
        <w:p w:rsidR="006275EC" w:rsidRDefault="0090219E">
          <w:pPr>
            <w:pStyle w:val="TOC2"/>
            <w:tabs>
              <w:tab w:val="right" w:leader="dot" w:pos="10456"/>
            </w:tabs>
            <w:rPr>
              <w:rFonts w:eastAsiaTheme="minorEastAsia"/>
              <w:noProof/>
              <w:sz w:val="22"/>
              <w:lang w:eastAsia="en-GB"/>
            </w:rPr>
          </w:pPr>
          <w:hyperlink w:anchor="_Toc54862967" w:history="1">
            <w:r w:rsidR="006275EC" w:rsidRPr="000D5283">
              <w:rPr>
                <w:rStyle w:val="Hyperlink"/>
                <w:noProof/>
              </w:rPr>
              <w:t>Direct Discrimination</w:t>
            </w:r>
            <w:r w:rsidR="006275EC">
              <w:rPr>
                <w:noProof/>
                <w:webHidden/>
              </w:rPr>
              <w:tab/>
            </w:r>
            <w:r w:rsidR="006275EC">
              <w:rPr>
                <w:noProof/>
                <w:webHidden/>
              </w:rPr>
              <w:fldChar w:fldCharType="begin"/>
            </w:r>
            <w:r w:rsidR="006275EC">
              <w:rPr>
                <w:noProof/>
                <w:webHidden/>
              </w:rPr>
              <w:instrText xml:space="preserve"> PAGEREF _Toc54862967 \h </w:instrText>
            </w:r>
            <w:r w:rsidR="006275EC">
              <w:rPr>
                <w:noProof/>
                <w:webHidden/>
              </w:rPr>
            </w:r>
            <w:r w:rsidR="006275EC">
              <w:rPr>
                <w:noProof/>
                <w:webHidden/>
              </w:rPr>
              <w:fldChar w:fldCharType="separate"/>
            </w:r>
            <w:r w:rsidR="006275EC">
              <w:rPr>
                <w:noProof/>
                <w:webHidden/>
              </w:rPr>
              <w:t>3</w:t>
            </w:r>
            <w:r w:rsidR="006275EC">
              <w:rPr>
                <w:noProof/>
                <w:webHidden/>
              </w:rPr>
              <w:fldChar w:fldCharType="end"/>
            </w:r>
          </w:hyperlink>
        </w:p>
        <w:p w:rsidR="006275EC" w:rsidRDefault="0090219E">
          <w:pPr>
            <w:pStyle w:val="TOC2"/>
            <w:tabs>
              <w:tab w:val="right" w:leader="dot" w:pos="10456"/>
            </w:tabs>
            <w:rPr>
              <w:rFonts w:eastAsiaTheme="minorEastAsia"/>
              <w:noProof/>
              <w:sz w:val="22"/>
              <w:lang w:eastAsia="en-GB"/>
            </w:rPr>
          </w:pPr>
          <w:hyperlink w:anchor="_Toc54862968" w:history="1">
            <w:r w:rsidR="006275EC" w:rsidRPr="000D5283">
              <w:rPr>
                <w:rStyle w:val="Hyperlink"/>
                <w:noProof/>
              </w:rPr>
              <w:t>Associative Discrimination</w:t>
            </w:r>
            <w:r w:rsidR="006275EC">
              <w:rPr>
                <w:noProof/>
                <w:webHidden/>
              </w:rPr>
              <w:tab/>
            </w:r>
            <w:r w:rsidR="006275EC">
              <w:rPr>
                <w:noProof/>
                <w:webHidden/>
              </w:rPr>
              <w:fldChar w:fldCharType="begin"/>
            </w:r>
            <w:r w:rsidR="006275EC">
              <w:rPr>
                <w:noProof/>
                <w:webHidden/>
              </w:rPr>
              <w:instrText xml:space="preserve"> PAGEREF _Toc54862968 \h </w:instrText>
            </w:r>
            <w:r w:rsidR="006275EC">
              <w:rPr>
                <w:noProof/>
                <w:webHidden/>
              </w:rPr>
            </w:r>
            <w:r w:rsidR="006275EC">
              <w:rPr>
                <w:noProof/>
                <w:webHidden/>
              </w:rPr>
              <w:fldChar w:fldCharType="separate"/>
            </w:r>
            <w:r w:rsidR="006275EC">
              <w:rPr>
                <w:noProof/>
                <w:webHidden/>
              </w:rPr>
              <w:t>3</w:t>
            </w:r>
            <w:r w:rsidR="006275EC">
              <w:rPr>
                <w:noProof/>
                <w:webHidden/>
              </w:rPr>
              <w:fldChar w:fldCharType="end"/>
            </w:r>
          </w:hyperlink>
        </w:p>
        <w:p w:rsidR="006275EC" w:rsidRDefault="0090219E">
          <w:pPr>
            <w:pStyle w:val="TOC2"/>
            <w:tabs>
              <w:tab w:val="right" w:leader="dot" w:pos="10456"/>
            </w:tabs>
            <w:rPr>
              <w:rFonts w:eastAsiaTheme="minorEastAsia"/>
              <w:noProof/>
              <w:sz w:val="22"/>
              <w:lang w:eastAsia="en-GB"/>
            </w:rPr>
          </w:pPr>
          <w:hyperlink w:anchor="_Toc54862969" w:history="1">
            <w:r w:rsidR="006275EC" w:rsidRPr="000D5283">
              <w:rPr>
                <w:rStyle w:val="Hyperlink"/>
                <w:noProof/>
              </w:rPr>
              <w:t>Perceptive Discrimination</w:t>
            </w:r>
            <w:r w:rsidR="006275EC">
              <w:rPr>
                <w:noProof/>
                <w:webHidden/>
              </w:rPr>
              <w:tab/>
            </w:r>
            <w:r w:rsidR="006275EC">
              <w:rPr>
                <w:noProof/>
                <w:webHidden/>
              </w:rPr>
              <w:fldChar w:fldCharType="begin"/>
            </w:r>
            <w:r w:rsidR="006275EC">
              <w:rPr>
                <w:noProof/>
                <w:webHidden/>
              </w:rPr>
              <w:instrText xml:space="preserve"> PAGEREF _Toc54862969 \h </w:instrText>
            </w:r>
            <w:r w:rsidR="006275EC">
              <w:rPr>
                <w:noProof/>
                <w:webHidden/>
              </w:rPr>
            </w:r>
            <w:r w:rsidR="006275EC">
              <w:rPr>
                <w:noProof/>
                <w:webHidden/>
              </w:rPr>
              <w:fldChar w:fldCharType="separate"/>
            </w:r>
            <w:r w:rsidR="006275EC">
              <w:rPr>
                <w:noProof/>
                <w:webHidden/>
              </w:rPr>
              <w:t>4</w:t>
            </w:r>
            <w:r w:rsidR="006275EC">
              <w:rPr>
                <w:noProof/>
                <w:webHidden/>
              </w:rPr>
              <w:fldChar w:fldCharType="end"/>
            </w:r>
          </w:hyperlink>
        </w:p>
        <w:p w:rsidR="006275EC" w:rsidRDefault="0090219E">
          <w:pPr>
            <w:pStyle w:val="TOC2"/>
            <w:tabs>
              <w:tab w:val="right" w:leader="dot" w:pos="10456"/>
            </w:tabs>
            <w:rPr>
              <w:rFonts w:eastAsiaTheme="minorEastAsia"/>
              <w:noProof/>
              <w:sz w:val="22"/>
              <w:lang w:eastAsia="en-GB"/>
            </w:rPr>
          </w:pPr>
          <w:hyperlink w:anchor="_Toc54862970" w:history="1">
            <w:r w:rsidR="006275EC" w:rsidRPr="000D5283">
              <w:rPr>
                <w:rStyle w:val="Hyperlink"/>
                <w:noProof/>
              </w:rPr>
              <w:t>Indirect Discrimination</w:t>
            </w:r>
            <w:r w:rsidR="006275EC">
              <w:rPr>
                <w:noProof/>
                <w:webHidden/>
              </w:rPr>
              <w:tab/>
            </w:r>
            <w:r w:rsidR="006275EC">
              <w:rPr>
                <w:noProof/>
                <w:webHidden/>
              </w:rPr>
              <w:fldChar w:fldCharType="begin"/>
            </w:r>
            <w:r w:rsidR="006275EC">
              <w:rPr>
                <w:noProof/>
                <w:webHidden/>
              </w:rPr>
              <w:instrText xml:space="preserve"> PAGEREF _Toc54862970 \h </w:instrText>
            </w:r>
            <w:r w:rsidR="006275EC">
              <w:rPr>
                <w:noProof/>
                <w:webHidden/>
              </w:rPr>
            </w:r>
            <w:r w:rsidR="006275EC">
              <w:rPr>
                <w:noProof/>
                <w:webHidden/>
              </w:rPr>
              <w:fldChar w:fldCharType="separate"/>
            </w:r>
            <w:r w:rsidR="006275EC">
              <w:rPr>
                <w:noProof/>
                <w:webHidden/>
              </w:rPr>
              <w:t>4</w:t>
            </w:r>
            <w:r w:rsidR="006275EC">
              <w:rPr>
                <w:noProof/>
                <w:webHidden/>
              </w:rPr>
              <w:fldChar w:fldCharType="end"/>
            </w:r>
          </w:hyperlink>
        </w:p>
        <w:p w:rsidR="006275EC" w:rsidRDefault="0090219E">
          <w:pPr>
            <w:pStyle w:val="TOC2"/>
            <w:tabs>
              <w:tab w:val="right" w:leader="dot" w:pos="10456"/>
            </w:tabs>
            <w:rPr>
              <w:rFonts w:eastAsiaTheme="minorEastAsia"/>
              <w:noProof/>
              <w:sz w:val="22"/>
              <w:lang w:eastAsia="en-GB"/>
            </w:rPr>
          </w:pPr>
          <w:hyperlink w:anchor="_Toc54862971" w:history="1">
            <w:r w:rsidR="006275EC" w:rsidRPr="000D5283">
              <w:rPr>
                <w:rStyle w:val="Hyperlink"/>
                <w:noProof/>
              </w:rPr>
              <w:t>Harassment</w:t>
            </w:r>
            <w:r w:rsidR="006275EC">
              <w:rPr>
                <w:noProof/>
                <w:webHidden/>
              </w:rPr>
              <w:tab/>
            </w:r>
            <w:r w:rsidR="006275EC">
              <w:rPr>
                <w:noProof/>
                <w:webHidden/>
              </w:rPr>
              <w:fldChar w:fldCharType="begin"/>
            </w:r>
            <w:r w:rsidR="006275EC">
              <w:rPr>
                <w:noProof/>
                <w:webHidden/>
              </w:rPr>
              <w:instrText xml:space="preserve"> PAGEREF _Toc54862971 \h </w:instrText>
            </w:r>
            <w:r w:rsidR="006275EC">
              <w:rPr>
                <w:noProof/>
                <w:webHidden/>
              </w:rPr>
            </w:r>
            <w:r w:rsidR="006275EC">
              <w:rPr>
                <w:noProof/>
                <w:webHidden/>
              </w:rPr>
              <w:fldChar w:fldCharType="separate"/>
            </w:r>
            <w:r w:rsidR="006275EC">
              <w:rPr>
                <w:noProof/>
                <w:webHidden/>
              </w:rPr>
              <w:t>4</w:t>
            </w:r>
            <w:r w:rsidR="006275EC">
              <w:rPr>
                <w:noProof/>
                <w:webHidden/>
              </w:rPr>
              <w:fldChar w:fldCharType="end"/>
            </w:r>
          </w:hyperlink>
        </w:p>
        <w:p w:rsidR="006275EC" w:rsidRDefault="0090219E">
          <w:pPr>
            <w:pStyle w:val="TOC2"/>
            <w:tabs>
              <w:tab w:val="right" w:leader="dot" w:pos="10456"/>
            </w:tabs>
            <w:rPr>
              <w:rFonts w:eastAsiaTheme="minorEastAsia"/>
              <w:noProof/>
              <w:sz w:val="22"/>
              <w:lang w:eastAsia="en-GB"/>
            </w:rPr>
          </w:pPr>
          <w:hyperlink w:anchor="_Toc54862972" w:history="1">
            <w:r w:rsidR="006275EC" w:rsidRPr="000D5283">
              <w:rPr>
                <w:rStyle w:val="Hyperlink"/>
                <w:noProof/>
              </w:rPr>
              <w:t>Third Party Harassment</w:t>
            </w:r>
            <w:r w:rsidR="006275EC">
              <w:rPr>
                <w:noProof/>
                <w:webHidden/>
              </w:rPr>
              <w:tab/>
            </w:r>
            <w:r w:rsidR="006275EC">
              <w:rPr>
                <w:noProof/>
                <w:webHidden/>
              </w:rPr>
              <w:fldChar w:fldCharType="begin"/>
            </w:r>
            <w:r w:rsidR="006275EC">
              <w:rPr>
                <w:noProof/>
                <w:webHidden/>
              </w:rPr>
              <w:instrText xml:space="preserve"> PAGEREF _Toc54862972 \h </w:instrText>
            </w:r>
            <w:r w:rsidR="006275EC">
              <w:rPr>
                <w:noProof/>
                <w:webHidden/>
              </w:rPr>
            </w:r>
            <w:r w:rsidR="006275EC">
              <w:rPr>
                <w:noProof/>
                <w:webHidden/>
              </w:rPr>
              <w:fldChar w:fldCharType="separate"/>
            </w:r>
            <w:r w:rsidR="006275EC">
              <w:rPr>
                <w:noProof/>
                <w:webHidden/>
              </w:rPr>
              <w:t>4</w:t>
            </w:r>
            <w:r w:rsidR="006275EC">
              <w:rPr>
                <w:noProof/>
                <w:webHidden/>
              </w:rPr>
              <w:fldChar w:fldCharType="end"/>
            </w:r>
          </w:hyperlink>
        </w:p>
        <w:p w:rsidR="006275EC" w:rsidRDefault="0090219E">
          <w:pPr>
            <w:pStyle w:val="TOC2"/>
            <w:tabs>
              <w:tab w:val="right" w:leader="dot" w:pos="10456"/>
            </w:tabs>
            <w:rPr>
              <w:rFonts w:eastAsiaTheme="minorEastAsia"/>
              <w:noProof/>
              <w:sz w:val="22"/>
              <w:lang w:eastAsia="en-GB"/>
            </w:rPr>
          </w:pPr>
          <w:hyperlink w:anchor="_Toc54862973" w:history="1">
            <w:r w:rsidR="006275EC" w:rsidRPr="000D5283">
              <w:rPr>
                <w:rStyle w:val="Hyperlink"/>
                <w:noProof/>
              </w:rPr>
              <w:t>Victimisation</w:t>
            </w:r>
            <w:r w:rsidR="006275EC">
              <w:rPr>
                <w:noProof/>
                <w:webHidden/>
              </w:rPr>
              <w:tab/>
            </w:r>
            <w:r w:rsidR="006275EC">
              <w:rPr>
                <w:noProof/>
                <w:webHidden/>
              </w:rPr>
              <w:fldChar w:fldCharType="begin"/>
            </w:r>
            <w:r w:rsidR="006275EC">
              <w:rPr>
                <w:noProof/>
                <w:webHidden/>
              </w:rPr>
              <w:instrText xml:space="preserve"> PAGEREF _Toc54862973 \h </w:instrText>
            </w:r>
            <w:r w:rsidR="006275EC">
              <w:rPr>
                <w:noProof/>
                <w:webHidden/>
              </w:rPr>
            </w:r>
            <w:r w:rsidR="006275EC">
              <w:rPr>
                <w:noProof/>
                <w:webHidden/>
              </w:rPr>
              <w:fldChar w:fldCharType="separate"/>
            </w:r>
            <w:r w:rsidR="006275EC">
              <w:rPr>
                <w:noProof/>
                <w:webHidden/>
              </w:rPr>
              <w:t>4</w:t>
            </w:r>
            <w:r w:rsidR="006275EC">
              <w:rPr>
                <w:noProof/>
                <w:webHidden/>
              </w:rPr>
              <w:fldChar w:fldCharType="end"/>
            </w:r>
          </w:hyperlink>
        </w:p>
        <w:p w:rsidR="006275EC" w:rsidRDefault="0090219E">
          <w:pPr>
            <w:pStyle w:val="TOC1"/>
            <w:tabs>
              <w:tab w:val="right" w:leader="dot" w:pos="10456"/>
            </w:tabs>
            <w:rPr>
              <w:rFonts w:eastAsiaTheme="minorEastAsia"/>
              <w:noProof/>
              <w:sz w:val="22"/>
              <w:lang w:eastAsia="en-GB"/>
            </w:rPr>
          </w:pPr>
          <w:hyperlink w:anchor="_Toc54862974" w:history="1">
            <w:r w:rsidR="006275EC" w:rsidRPr="000D5283">
              <w:rPr>
                <w:rStyle w:val="Hyperlink"/>
                <w:noProof/>
              </w:rPr>
              <w:t>Our Aims</w:t>
            </w:r>
            <w:r w:rsidR="006275EC">
              <w:rPr>
                <w:noProof/>
                <w:webHidden/>
              </w:rPr>
              <w:tab/>
            </w:r>
            <w:r w:rsidR="006275EC">
              <w:rPr>
                <w:noProof/>
                <w:webHidden/>
              </w:rPr>
              <w:fldChar w:fldCharType="begin"/>
            </w:r>
            <w:r w:rsidR="006275EC">
              <w:rPr>
                <w:noProof/>
                <w:webHidden/>
              </w:rPr>
              <w:instrText xml:space="preserve"> PAGEREF _Toc54862974 \h </w:instrText>
            </w:r>
            <w:r w:rsidR="006275EC">
              <w:rPr>
                <w:noProof/>
                <w:webHidden/>
              </w:rPr>
            </w:r>
            <w:r w:rsidR="006275EC">
              <w:rPr>
                <w:noProof/>
                <w:webHidden/>
              </w:rPr>
              <w:fldChar w:fldCharType="separate"/>
            </w:r>
            <w:r w:rsidR="006275EC">
              <w:rPr>
                <w:noProof/>
                <w:webHidden/>
              </w:rPr>
              <w:t>4</w:t>
            </w:r>
            <w:r w:rsidR="006275EC">
              <w:rPr>
                <w:noProof/>
                <w:webHidden/>
              </w:rPr>
              <w:fldChar w:fldCharType="end"/>
            </w:r>
          </w:hyperlink>
        </w:p>
        <w:p w:rsidR="006275EC" w:rsidRDefault="0090219E">
          <w:pPr>
            <w:pStyle w:val="TOC1"/>
            <w:tabs>
              <w:tab w:val="right" w:leader="dot" w:pos="10456"/>
            </w:tabs>
            <w:rPr>
              <w:rFonts w:eastAsiaTheme="minorEastAsia"/>
              <w:noProof/>
              <w:sz w:val="22"/>
              <w:lang w:eastAsia="en-GB"/>
            </w:rPr>
          </w:pPr>
          <w:hyperlink w:anchor="_Toc54862975" w:history="1">
            <w:r w:rsidR="006275EC" w:rsidRPr="000D5283">
              <w:rPr>
                <w:rStyle w:val="Hyperlink"/>
                <w:noProof/>
              </w:rPr>
              <w:t>Our commitment to Staff and Contractors</w:t>
            </w:r>
            <w:r w:rsidR="006275EC">
              <w:rPr>
                <w:noProof/>
                <w:webHidden/>
              </w:rPr>
              <w:tab/>
            </w:r>
            <w:r w:rsidR="006275EC">
              <w:rPr>
                <w:noProof/>
                <w:webHidden/>
              </w:rPr>
              <w:fldChar w:fldCharType="begin"/>
            </w:r>
            <w:r w:rsidR="006275EC">
              <w:rPr>
                <w:noProof/>
                <w:webHidden/>
              </w:rPr>
              <w:instrText xml:space="preserve"> PAGEREF _Toc54862975 \h </w:instrText>
            </w:r>
            <w:r w:rsidR="006275EC">
              <w:rPr>
                <w:noProof/>
                <w:webHidden/>
              </w:rPr>
            </w:r>
            <w:r w:rsidR="006275EC">
              <w:rPr>
                <w:noProof/>
                <w:webHidden/>
              </w:rPr>
              <w:fldChar w:fldCharType="separate"/>
            </w:r>
            <w:r w:rsidR="006275EC">
              <w:rPr>
                <w:noProof/>
                <w:webHidden/>
              </w:rPr>
              <w:t>5</w:t>
            </w:r>
            <w:r w:rsidR="006275EC">
              <w:rPr>
                <w:noProof/>
                <w:webHidden/>
              </w:rPr>
              <w:fldChar w:fldCharType="end"/>
            </w:r>
          </w:hyperlink>
        </w:p>
        <w:p w:rsidR="006275EC" w:rsidRDefault="0090219E">
          <w:pPr>
            <w:pStyle w:val="TOC1"/>
            <w:tabs>
              <w:tab w:val="right" w:leader="dot" w:pos="10456"/>
            </w:tabs>
            <w:rPr>
              <w:rFonts w:eastAsiaTheme="minorEastAsia"/>
              <w:noProof/>
              <w:sz w:val="22"/>
              <w:lang w:eastAsia="en-GB"/>
            </w:rPr>
          </w:pPr>
          <w:hyperlink w:anchor="_Toc54862976" w:history="1">
            <w:r w:rsidR="006275EC" w:rsidRPr="000D5283">
              <w:rPr>
                <w:rStyle w:val="Hyperlink"/>
                <w:noProof/>
              </w:rPr>
              <w:t>Our commitment to Patients</w:t>
            </w:r>
            <w:r w:rsidR="006275EC">
              <w:rPr>
                <w:noProof/>
                <w:webHidden/>
              </w:rPr>
              <w:tab/>
            </w:r>
            <w:r w:rsidR="006275EC">
              <w:rPr>
                <w:noProof/>
                <w:webHidden/>
              </w:rPr>
              <w:fldChar w:fldCharType="begin"/>
            </w:r>
            <w:r w:rsidR="006275EC">
              <w:rPr>
                <w:noProof/>
                <w:webHidden/>
              </w:rPr>
              <w:instrText xml:space="preserve"> PAGEREF _Toc54862976 \h </w:instrText>
            </w:r>
            <w:r w:rsidR="006275EC">
              <w:rPr>
                <w:noProof/>
                <w:webHidden/>
              </w:rPr>
            </w:r>
            <w:r w:rsidR="006275EC">
              <w:rPr>
                <w:noProof/>
                <w:webHidden/>
              </w:rPr>
              <w:fldChar w:fldCharType="separate"/>
            </w:r>
            <w:r w:rsidR="006275EC">
              <w:rPr>
                <w:noProof/>
                <w:webHidden/>
              </w:rPr>
              <w:t>5</w:t>
            </w:r>
            <w:r w:rsidR="006275EC">
              <w:rPr>
                <w:noProof/>
                <w:webHidden/>
              </w:rPr>
              <w:fldChar w:fldCharType="end"/>
            </w:r>
          </w:hyperlink>
        </w:p>
        <w:p w:rsidR="006275EC" w:rsidRDefault="0090219E">
          <w:pPr>
            <w:pStyle w:val="TOC1"/>
            <w:tabs>
              <w:tab w:val="right" w:leader="dot" w:pos="10456"/>
            </w:tabs>
            <w:rPr>
              <w:rFonts w:eastAsiaTheme="minorEastAsia"/>
              <w:noProof/>
              <w:sz w:val="22"/>
              <w:lang w:eastAsia="en-GB"/>
            </w:rPr>
          </w:pPr>
          <w:hyperlink w:anchor="_Toc54862977" w:history="1">
            <w:r w:rsidR="006275EC" w:rsidRPr="000D5283">
              <w:rPr>
                <w:rStyle w:val="Hyperlink"/>
                <w:noProof/>
              </w:rPr>
              <w:t>Monitoring of the Policy</w:t>
            </w:r>
            <w:r w:rsidR="006275EC">
              <w:rPr>
                <w:noProof/>
                <w:webHidden/>
              </w:rPr>
              <w:tab/>
            </w:r>
            <w:r w:rsidR="006275EC">
              <w:rPr>
                <w:noProof/>
                <w:webHidden/>
              </w:rPr>
              <w:fldChar w:fldCharType="begin"/>
            </w:r>
            <w:r w:rsidR="006275EC">
              <w:rPr>
                <w:noProof/>
                <w:webHidden/>
              </w:rPr>
              <w:instrText xml:space="preserve"> PAGEREF _Toc54862977 \h </w:instrText>
            </w:r>
            <w:r w:rsidR="006275EC">
              <w:rPr>
                <w:noProof/>
                <w:webHidden/>
              </w:rPr>
            </w:r>
            <w:r w:rsidR="006275EC">
              <w:rPr>
                <w:noProof/>
                <w:webHidden/>
              </w:rPr>
              <w:fldChar w:fldCharType="separate"/>
            </w:r>
            <w:r w:rsidR="006275EC">
              <w:rPr>
                <w:noProof/>
                <w:webHidden/>
              </w:rPr>
              <w:t>6</w:t>
            </w:r>
            <w:r w:rsidR="006275EC">
              <w:rPr>
                <w:noProof/>
                <w:webHidden/>
              </w:rPr>
              <w:fldChar w:fldCharType="end"/>
            </w:r>
          </w:hyperlink>
        </w:p>
        <w:p w:rsidR="006275EC" w:rsidRDefault="0090219E">
          <w:pPr>
            <w:pStyle w:val="TOC1"/>
            <w:tabs>
              <w:tab w:val="right" w:leader="dot" w:pos="10456"/>
            </w:tabs>
            <w:rPr>
              <w:rFonts w:eastAsiaTheme="minorEastAsia"/>
              <w:noProof/>
              <w:sz w:val="22"/>
              <w:lang w:eastAsia="en-GB"/>
            </w:rPr>
          </w:pPr>
          <w:hyperlink w:anchor="_Toc54862978" w:history="1">
            <w:r w:rsidR="006275EC" w:rsidRPr="000D5283">
              <w:rPr>
                <w:rStyle w:val="Hyperlink"/>
                <w:noProof/>
              </w:rPr>
              <w:t>Taking Action</w:t>
            </w:r>
            <w:r w:rsidR="006275EC">
              <w:rPr>
                <w:noProof/>
                <w:webHidden/>
              </w:rPr>
              <w:tab/>
            </w:r>
            <w:r w:rsidR="006275EC">
              <w:rPr>
                <w:noProof/>
                <w:webHidden/>
              </w:rPr>
              <w:fldChar w:fldCharType="begin"/>
            </w:r>
            <w:r w:rsidR="006275EC">
              <w:rPr>
                <w:noProof/>
                <w:webHidden/>
              </w:rPr>
              <w:instrText xml:space="preserve"> PAGEREF _Toc54862978 \h </w:instrText>
            </w:r>
            <w:r w:rsidR="006275EC">
              <w:rPr>
                <w:noProof/>
                <w:webHidden/>
              </w:rPr>
            </w:r>
            <w:r w:rsidR="006275EC">
              <w:rPr>
                <w:noProof/>
                <w:webHidden/>
              </w:rPr>
              <w:fldChar w:fldCharType="separate"/>
            </w:r>
            <w:r w:rsidR="006275EC">
              <w:rPr>
                <w:noProof/>
                <w:webHidden/>
              </w:rPr>
              <w:t>6</w:t>
            </w:r>
            <w:r w:rsidR="006275EC">
              <w:rPr>
                <w:noProof/>
                <w:webHidden/>
              </w:rPr>
              <w:fldChar w:fldCharType="end"/>
            </w:r>
          </w:hyperlink>
        </w:p>
        <w:p w:rsidR="006275EC" w:rsidRDefault="0090219E">
          <w:pPr>
            <w:pStyle w:val="TOC1"/>
            <w:tabs>
              <w:tab w:val="right" w:leader="dot" w:pos="10456"/>
            </w:tabs>
            <w:rPr>
              <w:rFonts w:eastAsiaTheme="minorEastAsia"/>
              <w:noProof/>
              <w:sz w:val="22"/>
              <w:lang w:eastAsia="en-GB"/>
            </w:rPr>
          </w:pPr>
          <w:hyperlink w:anchor="_Toc54862979" w:history="1">
            <w:r w:rsidR="006275EC" w:rsidRPr="000D5283">
              <w:rPr>
                <w:rStyle w:val="Hyperlink"/>
                <w:noProof/>
              </w:rPr>
              <w:t>Notification and Record Keeping</w:t>
            </w:r>
            <w:r w:rsidR="006275EC">
              <w:rPr>
                <w:noProof/>
                <w:webHidden/>
              </w:rPr>
              <w:tab/>
            </w:r>
            <w:r w:rsidR="006275EC">
              <w:rPr>
                <w:noProof/>
                <w:webHidden/>
              </w:rPr>
              <w:fldChar w:fldCharType="begin"/>
            </w:r>
            <w:r w:rsidR="006275EC">
              <w:rPr>
                <w:noProof/>
                <w:webHidden/>
              </w:rPr>
              <w:instrText xml:space="preserve"> PAGEREF _Toc54862979 \h </w:instrText>
            </w:r>
            <w:r w:rsidR="006275EC">
              <w:rPr>
                <w:noProof/>
                <w:webHidden/>
              </w:rPr>
            </w:r>
            <w:r w:rsidR="006275EC">
              <w:rPr>
                <w:noProof/>
                <w:webHidden/>
              </w:rPr>
              <w:fldChar w:fldCharType="separate"/>
            </w:r>
            <w:r w:rsidR="006275EC">
              <w:rPr>
                <w:noProof/>
                <w:webHidden/>
              </w:rPr>
              <w:t>6</w:t>
            </w:r>
            <w:r w:rsidR="006275EC">
              <w:rPr>
                <w:noProof/>
                <w:webHidden/>
              </w:rPr>
              <w:fldChar w:fldCharType="end"/>
            </w:r>
          </w:hyperlink>
        </w:p>
        <w:p w:rsidR="006275EC" w:rsidRDefault="0090219E">
          <w:pPr>
            <w:pStyle w:val="TOC1"/>
            <w:tabs>
              <w:tab w:val="right" w:leader="dot" w:pos="10456"/>
            </w:tabs>
            <w:rPr>
              <w:rFonts w:eastAsiaTheme="minorEastAsia"/>
              <w:noProof/>
              <w:sz w:val="22"/>
              <w:lang w:eastAsia="en-GB"/>
            </w:rPr>
          </w:pPr>
          <w:hyperlink w:anchor="_Toc54862980" w:history="1">
            <w:r w:rsidR="006275EC" w:rsidRPr="000D5283">
              <w:rPr>
                <w:rStyle w:val="Hyperlink"/>
                <w:noProof/>
              </w:rPr>
              <w:t>Document Control Details</w:t>
            </w:r>
            <w:r w:rsidR="006275EC">
              <w:rPr>
                <w:noProof/>
                <w:webHidden/>
              </w:rPr>
              <w:tab/>
            </w:r>
            <w:r w:rsidR="006275EC">
              <w:rPr>
                <w:noProof/>
                <w:webHidden/>
              </w:rPr>
              <w:fldChar w:fldCharType="begin"/>
            </w:r>
            <w:r w:rsidR="006275EC">
              <w:rPr>
                <w:noProof/>
                <w:webHidden/>
              </w:rPr>
              <w:instrText xml:space="preserve"> PAGEREF _Toc54862980 \h </w:instrText>
            </w:r>
            <w:r w:rsidR="006275EC">
              <w:rPr>
                <w:noProof/>
                <w:webHidden/>
              </w:rPr>
            </w:r>
            <w:r w:rsidR="006275EC">
              <w:rPr>
                <w:noProof/>
                <w:webHidden/>
              </w:rPr>
              <w:fldChar w:fldCharType="separate"/>
            </w:r>
            <w:r w:rsidR="006275EC">
              <w:rPr>
                <w:noProof/>
                <w:webHidden/>
              </w:rPr>
              <w:t>7</w:t>
            </w:r>
            <w:r w:rsidR="006275EC">
              <w:rPr>
                <w:noProof/>
                <w:webHidden/>
              </w:rPr>
              <w:fldChar w:fldCharType="end"/>
            </w:r>
          </w:hyperlink>
        </w:p>
        <w:p w:rsidR="009157BD" w:rsidRDefault="0041718A">
          <w:r>
            <w:fldChar w:fldCharType="end"/>
          </w:r>
        </w:p>
      </w:sdtContent>
    </w:sdt>
    <w:p w:rsidR="005A2588" w:rsidRPr="0023493F" w:rsidRDefault="00A83D95" w:rsidP="0023493F">
      <w:pPr>
        <w:pStyle w:val="Heading1"/>
      </w:pPr>
      <w:bookmarkStart w:id="0" w:name="_Toc54862964"/>
      <w:r w:rsidRPr="0023493F">
        <w:t>Introduction</w:t>
      </w:r>
      <w:bookmarkEnd w:id="0"/>
    </w:p>
    <w:p w:rsidR="00D841A1" w:rsidRDefault="00D841A1" w:rsidP="00D841A1">
      <w:r>
        <w:t xml:space="preserve">Equality is about treating employees, contractors, </w:t>
      </w:r>
      <w:r w:rsidR="00602387">
        <w:t xml:space="preserve">students, </w:t>
      </w:r>
      <w:r>
        <w:t>customers and clients fairly and ensuring everyone is given a fair chance in life, work and education. It is common to think Equality is about treating everyone the same; but there is a danger that if you treat everyone the same you are not acknowledging their differences or needs, which could have an impact on how that person is feeling.</w:t>
      </w:r>
    </w:p>
    <w:p w:rsidR="00435305" w:rsidRDefault="00435305" w:rsidP="00EB5117">
      <w:pPr>
        <w:pStyle w:val="NoSpacing"/>
      </w:pPr>
      <w:r>
        <w:t>The Equality Act 2010 came into effect from 1 October 2010. The Act incorporated all previous domestic equality legislation (as amended where applicable):</w:t>
      </w:r>
    </w:p>
    <w:p w:rsidR="00435305" w:rsidRDefault="00435305" w:rsidP="008326BD">
      <w:pPr>
        <w:pStyle w:val="ListParagraph"/>
        <w:numPr>
          <w:ilvl w:val="0"/>
          <w:numId w:val="7"/>
        </w:numPr>
      </w:pPr>
      <w:r>
        <w:t>The Equal Pay Act 1970</w:t>
      </w:r>
    </w:p>
    <w:p w:rsidR="00435305" w:rsidRDefault="00435305" w:rsidP="008326BD">
      <w:pPr>
        <w:pStyle w:val="ListParagraph"/>
        <w:numPr>
          <w:ilvl w:val="0"/>
          <w:numId w:val="7"/>
        </w:numPr>
      </w:pPr>
      <w:r>
        <w:t>The Sex Discrimination Act 1975</w:t>
      </w:r>
    </w:p>
    <w:p w:rsidR="00435305" w:rsidRDefault="00435305" w:rsidP="008326BD">
      <w:pPr>
        <w:pStyle w:val="ListParagraph"/>
        <w:numPr>
          <w:ilvl w:val="0"/>
          <w:numId w:val="7"/>
        </w:numPr>
      </w:pPr>
      <w:r>
        <w:t>The Race Relations Act 1976</w:t>
      </w:r>
    </w:p>
    <w:p w:rsidR="00435305" w:rsidRDefault="00435305" w:rsidP="008326BD">
      <w:pPr>
        <w:pStyle w:val="ListParagraph"/>
        <w:numPr>
          <w:ilvl w:val="0"/>
          <w:numId w:val="7"/>
        </w:numPr>
      </w:pPr>
      <w:r>
        <w:t>The Disability Discrimination Act 1995</w:t>
      </w:r>
    </w:p>
    <w:p w:rsidR="00435305" w:rsidRDefault="00435305" w:rsidP="008326BD">
      <w:pPr>
        <w:pStyle w:val="ListParagraph"/>
        <w:numPr>
          <w:ilvl w:val="0"/>
          <w:numId w:val="7"/>
        </w:numPr>
      </w:pPr>
      <w:r>
        <w:t>The Employment Equality Act (Religion or Belief) Regulations 2003</w:t>
      </w:r>
    </w:p>
    <w:p w:rsidR="00435305" w:rsidRDefault="00435305" w:rsidP="008326BD">
      <w:pPr>
        <w:pStyle w:val="ListParagraph"/>
        <w:numPr>
          <w:ilvl w:val="0"/>
          <w:numId w:val="7"/>
        </w:numPr>
      </w:pPr>
      <w:r>
        <w:t>The Employment Equality (Sexual Orientation) Regulations 2003</w:t>
      </w:r>
    </w:p>
    <w:p w:rsidR="00435305" w:rsidRDefault="00435305" w:rsidP="008326BD">
      <w:pPr>
        <w:pStyle w:val="ListParagraph"/>
        <w:numPr>
          <w:ilvl w:val="0"/>
          <w:numId w:val="7"/>
        </w:numPr>
      </w:pPr>
      <w:r>
        <w:t>The Employment Equality (Age) Regulations 2006</w:t>
      </w:r>
    </w:p>
    <w:p w:rsidR="00435305" w:rsidRDefault="00435305" w:rsidP="008326BD">
      <w:pPr>
        <w:pStyle w:val="ListParagraph"/>
        <w:numPr>
          <w:ilvl w:val="0"/>
          <w:numId w:val="7"/>
        </w:numPr>
      </w:pPr>
      <w:r>
        <w:t>The Equality Act 2006, Part 2</w:t>
      </w:r>
    </w:p>
    <w:p w:rsidR="00435305" w:rsidRDefault="00435305" w:rsidP="008326BD">
      <w:pPr>
        <w:pStyle w:val="ListParagraph"/>
        <w:numPr>
          <w:ilvl w:val="0"/>
          <w:numId w:val="7"/>
        </w:numPr>
      </w:pPr>
      <w:r>
        <w:t>The Equality Act (Sexual Orientation) Regulations 2007</w:t>
      </w:r>
    </w:p>
    <w:p w:rsidR="00435305" w:rsidRPr="00EF7AD2" w:rsidRDefault="00435305" w:rsidP="00EF7AD2">
      <w:pPr>
        <w:pStyle w:val="NoSpacing"/>
      </w:pPr>
      <w:r>
        <w:t xml:space="preserve">The Act simplified the </w:t>
      </w:r>
      <w:r w:rsidR="00656CD4">
        <w:t>law and</w:t>
      </w:r>
      <w:r>
        <w:t xml:space="preserve"> incorporated the above 9 major pieces of legislation plus around 100 other measures into a single Act written in plain English to make it easier for individuals and employers to understand their legal rights and obligations. The website of the Government Equality Office (GEO) contains practical interpretation of the Equality Act in accessible language, illustrated with helpful examples (www.equalities.gov.uk)</w:t>
      </w:r>
    </w:p>
    <w:p w:rsidR="00E152D7" w:rsidRDefault="00E152D7" w:rsidP="00FF1E97">
      <w:pPr>
        <w:pStyle w:val="Heading1"/>
      </w:pPr>
      <w:bookmarkStart w:id="1" w:name="_Toc54862965"/>
      <w:r>
        <w:t>Definitions</w:t>
      </w:r>
      <w:bookmarkEnd w:id="1"/>
    </w:p>
    <w:p w:rsidR="00EF7AD2" w:rsidRDefault="00EF7AD2" w:rsidP="00EF7AD2">
      <w:pPr>
        <w:pStyle w:val="Heading2"/>
      </w:pPr>
      <w:bookmarkStart w:id="2" w:name="_Toc54862966"/>
      <w:r>
        <w:t>Protected Characteristics</w:t>
      </w:r>
      <w:bookmarkEnd w:id="2"/>
      <w:r>
        <w:t xml:space="preserve"> </w:t>
      </w:r>
    </w:p>
    <w:p w:rsidR="00E152D7" w:rsidRDefault="00E152D7" w:rsidP="00BB1DCA">
      <w:pPr>
        <w:pStyle w:val="NoSpacing"/>
      </w:pPr>
      <w:r>
        <w:t>The Act defines discrimination in terms of n</w:t>
      </w:r>
      <w:r w:rsidR="00BB1DCA">
        <w:t>ine “protected characteristics”</w:t>
      </w:r>
    </w:p>
    <w:p w:rsidR="00E152D7" w:rsidRDefault="00E152D7" w:rsidP="00FF1E97">
      <w:pPr>
        <w:pStyle w:val="ListParagraph"/>
        <w:numPr>
          <w:ilvl w:val="0"/>
          <w:numId w:val="9"/>
        </w:numPr>
      </w:pPr>
      <w:r>
        <w:t>Age</w:t>
      </w:r>
    </w:p>
    <w:p w:rsidR="00E152D7" w:rsidRDefault="00E152D7" w:rsidP="00FF1E97">
      <w:pPr>
        <w:pStyle w:val="ListParagraph"/>
        <w:numPr>
          <w:ilvl w:val="0"/>
          <w:numId w:val="9"/>
        </w:numPr>
      </w:pPr>
      <w:r>
        <w:t>Disability</w:t>
      </w:r>
    </w:p>
    <w:p w:rsidR="00E152D7" w:rsidRDefault="00E152D7" w:rsidP="00FF1E97">
      <w:pPr>
        <w:pStyle w:val="ListParagraph"/>
        <w:numPr>
          <w:ilvl w:val="0"/>
          <w:numId w:val="9"/>
        </w:numPr>
      </w:pPr>
      <w:r>
        <w:t>Gender reassignment</w:t>
      </w:r>
    </w:p>
    <w:p w:rsidR="00E152D7" w:rsidRDefault="00E152D7" w:rsidP="00FF1E97">
      <w:pPr>
        <w:pStyle w:val="ListParagraph"/>
        <w:numPr>
          <w:ilvl w:val="0"/>
          <w:numId w:val="9"/>
        </w:numPr>
      </w:pPr>
      <w:r>
        <w:t>Marriage and civil partnership</w:t>
      </w:r>
    </w:p>
    <w:p w:rsidR="00E152D7" w:rsidRDefault="00E152D7" w:rsidP="00FF1E97">
      <w:pPr>
        <w:pStyle w:val="ListParagraph"/>
        <w:numPr>
          <w:ilvl w:val="0"/>
          <w:numId w:val="9"/>
        </w:numPr>
      </w:pPr>
      <w:r>
        <w:t>Pregnancy and maternity</w:t>
      </w:r>
    </w:p>
    <w:p w:rsidR="00E152D7" w:rsidRDefault="00E152D7" w:rsidP="00FF1E97">
      <w:pPr>
        <w:pStyle w:val="ListParagraph"/>
        <w:numPr>
          <w:ilvl w:val="0"/>
          <w:numId w:val="9"/>
        </w:numPr>
      </w:pPr>
      <w:r>
        <w:t>Race</w:t>
      </w:r>
    </w:p>
    <w:p w:rsidR="00E152D7" w:rsidRDefault="00E152D7" w:rsidP="00FF1E97">
      <w:pPr>
        <w:pStyle w:val="ListParagraph"/>
        <w:numPr>
          <w:ilvl w:val="0"/>
          <w:numId w:val="9"/>
        </w:numPr>
      </w:pPr>
      <w:r>
        <w:t>Religion and belief</w:t>
      </w:r>
    </w:p>
    <w:p w:rsidR="00E152D7" w:rsidRDefault="00E152D7" w:rsidP="00FF1E97">
      <w:pPr>
        <w:pStyle w:val="ListParagraph"/>
        <w:numPr>
          <w:ilvl w:val="0"/>
          <w:numId w:val="9"/>
        </w:numPr>
      </w:pPr>
      <w:r>
        <w:t>Sex</w:t>
      </w:r>
    </w:p>
    <w:p w:rsidR="008C022E" w:rsidRDefault="00E152D7" w:rsidP="00EB5117">
      <w:pPr>
        <w:pStyle w:val="ListParagraph"/>
        <w:numPr>
          <w:ilvl w:val="0"/>
          <w:numId w:val="9"/>
        </w:numPr>
      </w:pPr>
      <w:r>
        <w:t>Sexual orientation</w:t>
      </w:r>
    </w:p>
    <w:p w:rsidR="00CB5403" w:rsidRDefault="00CB5403" w:rsidP="00CB5403">
      <w:r>
        <w:t>We should also ensure we</w:t>
      </w:r>
      <w:r w:rsidR="00377011">
        <w:t xml:space="preserve"> do not discriminate on the grounds of socioeconomic background or mental health status.</w:t>
      </w:r>
    </w:p>
    <w:p w:rsidR="00456A53" w:rsidRDefault="00456A53" w:rsidP="00456A53">
      <w:pPr>
        <w:pStyle w:val="Heading2"/>
      </w:pPr>
      <w:bookmarkStart w:id="3" w:name="_Toc54862967"/>
      <w:r>
        <w:t>Direct Discrimination</w:t>
      </w:r>
      <w:bookmarkEnd w:id="3"/>
    </w:p>
    <w:p w:rsidR="00456A53" w:rsidRDefault="00456A53" w:rsidP="00456A53">
      <w:r>
        <w:t>Direct Discrimination occurs when someone is treated less favourably than another person because of a protected characteristic they have or are thought to have (see Perce</w:t>
      </w:r>
      <w:r w:rsidR="00697482">
        <w:t xml:space="preserve">ptive Discrimination below), or </w:t>
      </w:r>
      <w:r>
        <w:t>because they associate with someone who has a protected characteristic (see Associative Discrimination below).</w:t>
      </w:r>
    </w:p>
    <w:p w:rsidR="00456A53" w:rsidRDefault="00456A53" w:rsidP="00456A53">
      <w:pPr>
        <w:pStyle w:val="Heading2"/>
      </w:pPr>
      <w:bookmarkStart w:id="4" w:name="_Toc54862968"/>
      <w:r>
        <w:t>Associative Discrimination</w:t>
      </w:r>
      <w:bookmarkEnd w:id="4"/>
    </w:p>
    <w:p w:rsidR="00456A53" w:rsidRDefault="00B16BEE" w:rsidP="00456A53">
      <w:r>
        <w:t xml:space="preserve">This </w:t>
      </w:r>
      <w:r w:rsidR="00456A53">
        <w:t xml:space="preserve">applies </w:t>
      </w:r>
      <w:r>
        <w:t xml:space="preserve">to Race, Religion or Belief, </w:t>
      </w:r>
      <w:r w:rsidR="00456A53">
        <w:t>Sexual Orientation</w:t>
      </w:r>
      <w:r>
        <w:t>,</w:t>
      </w:r>
      <w:r w:rsidR="00456A53">
        <w:t xml:space="preserve"> Age, Disability, Gender Reassignment and Sex. This is direct discrimination against someone because they associate with another person who possesses a protected characteristic.</w:t>
      </w:r>
    </w:p>
    <w:p w:rsidR="00456A53" w:rsidRDefault="00456A53" w:rsidP="00456A53">
      <w:pPr>
        <w:pStyle w:val="Heading2"/>
      </w:pPr>
      <w:bookmarkStart w:id="5" w:name="_Toc54862969"/>
      <w:r>
        <w:t>Perceptive Discrimination</w:t>
      </w:r>
      <w:bookmarkEnd w:id="5"/>
    </w:p>
    <w:p w:rsidR="00456A53" w:rsidRDefault="00456A53" w:rsidP="00456A53">
      <w:r>
        <w:t>This applies to A</w:t>
      </w:r>
      <w:r w:rsidR="00B16BEE">
        <w:t>ge, Race, Religion or Belief,</w:t>
      </w:r>
      <w:r>
        <w:t xml:space="preserve"> Sexual Orientation</w:t>
      </w:r>
      <w:r w:rsidR="00B16BEE">
        <w:t>,</w:t>
      </w:r>
      <w:r>
        <w:t xml:space="preserve"> Disability, Gender Reassignment and Sex. This is direct discrimination against an individual because others think they possess a </w:t>
      </w:r>
      <w:r w:rsidR="00656CD4">
        <w:t>protected</w:t>
      </w:r>
      <w:r>
        <w:t xml:space="preserve"> characteristic. It applies even if the person does not actually possess the characteristic.</w:t>
      </w:r>
    </w:p>
    <w:p w:rsidR="00456A53" w:rsidRDefault="00456A53" w:rsidP="00456A53">
      <w:pPr>
        <w:pStyle w:val="Heading2"/>
      </w:pPr>
      <w:bookmarkStart w:id="6" w:name="_Toc54862970"/>
      <w:r>
        <w:t>Indirect Discrimination</w:t>
      </w:r>
      <w:bookmarkEnd w:id="6"/>
    </w:p>
    <w:p w:rsidR="00456A53" w:rsidRDefault="007D0561" w:rsidP="00456A53">
      <w:r>
        <w:t xml:space="preserve">This </w:t>
      </w:r>
      <w:r w:rsidR="00456A53">
        <w:t>applies to Age, Race, Religion or Bel</w:t>
      </w:r>
      <w:r>
        <w:t>ief, Sex, Sexual Orientation,</w:t>
      </w:r>
      <w:r w:rsidR="00456A53">
        <w:t xml:space="preserve"> Marria</w:t>
      </w:r>
      <w:r>
        <w:t xml:space="preserve">ge and Civil Partnership, </w:t>
      </w:r>
      <w:r w:rsidR="00456A53">
        <w:t>Disability and Gender Reassignment.</w:t>
      </w:r>
    </w:p>
    <w:p w:rsidR="00456A53" w:rsidRDefault="00456A53" w:rsidP="00456A53">
      <w:r>
        <w:t>Indirect Discrimination can occur when you have a condition, rule, policy or even a practice in your organisation that applies to everyone but particularly disadvantages people who share a protected characteristic.</w:t>
      </w:r>
    </w:p>
    <w:p w:rsidR="00456A53" w:rsidRDefault="00456A53" w:rsidP="00456A53">
      <w:pPr>
        <w:pStyle w:val="Heading2"/>
      </w:pPr>
      <w:bookmarkStart w:id="7" w:name="_Toc54862971"/>
      <w:r>
        <w:t>Harassment</w:t>
      </w:r>
      <w:bookmarkEnd w:id="7"/>
    </w:p>
    <w:p w:rsidR="00456A53" w:rsidRDefault="00456A53" w:rsidP="00456A53">
      <w:r>
        <w:t>Harassment is "unwanted conduct related to a relevant protected characteristic, which has the purpose or effect of violating an individual's dignity or creating intimidating, hostile, degrading, humiliating or offensive environment for that individual".</w:t>
      </w:r>
    </w:p>
    <w:p w:rsidR="00456A53" w:rsidRDefault="00456A53" w:rsidP="00456A53">
      <w:r>
        <w:t>Employees will now be able to complain of behaviour that they find offensive even if it is not directed at them, and the complainant need not possess the relevant characteristic themselves. Employees are also protected from harassment because of perception and association.</w:t>
      </w:r>
    </w:p>
    <w:p w:rsidR="00456A53" w:rsidRDefault="00456A53" w:rsidP="00456A53">
      <w:pPr>
        <w:pStyle w:val="Heading2"/>
      </w:pPr>
      <w:bookmarkStart w:id="8" w:name="_Toc54862972"/>
      <w:r>
        <w:t>Third Party Harassment</w:t>
      </w:r>
      <w:bookmarkEnd w:id="8"/>
    </w:p>
    <w:p w:rsidR="00456A53" w:rsidRDefault="00251939" w:rsidP="00456A53">
      <w:r>
        <w:t>This</w:t>
      </w:r>
      <w:r w:rsidR="00456A53">
        <w:t xml:space="preserve"> applies to S</w:t>
      </w:r>
      <w:r>
        <w:t xml:space="preserve">ex, </w:t>
      </w:r>
      <w:r w:rsidR="00456A53">
        <w:t>Age, Disability, Gender Reassignment, Race, Religion or Belief and Sexual Orientation.</w:t>
      </w:r>
    </w:p>
    <w:p w:rsidR="00456A53" w:rsidRDefault="00456A53" w:rsidP="00456A53">
      <w:r>
        <w:t>The Equality Act makes you potentially liable for harassment of your employees by people (third parties) who are not employees of your company, such as customers or clients.</w:t>
      </w:r>
    </w:p>
    <w:p w:rsidR="00456A53" w:rsidRDefault="00456A53" w:rsidP="00456A53">
      <w:pPr>
        <w:pStyle w:val="Heading2"/>
      </w:pPr>
      <w:bookmarkStart w:id="9" w:name="_Toc54862973"/>
      <w:r>
        <w:t>Victimisation</w:t>
      </w:r>
      <w:bookmarkEnd w:id="9"/>
    </w:p>
    <w:p w:rsidR="00456A53" w:rsidRDefault="00456A53" w:rsidP="00456A53">
      <w:r>
        <w:t>Victimisation occurs when an employee is treated badly because they have made or supported a complaint or raised a grievance under the Equality Act; or because they are suspected of doing so. The Equality Act amends the definition 'victimisation', so that no longer needs to point to a comparator.</w:t>
      </w:r>
    </w:p>
    <w:p w:rsidR="00A57738" w:rsidRDefault="0033763E" w:rsidP="00A57738">
      <w:pPr>
        <w:pStyle w:val="Heading1"/>
      </w:pPr>
      <w:bookmarkStart w:id="10" w:name="_Toc54862974"/>
      <w:r>
        <w:t xml:space="preserve">Our </w:t>
      </w:r>
      <w:r w:rsidR="00A57738">
        <w:t>Aims</w:t>
      </w:r>
      <w:bookmarkEnd w:id="10"/>
    </w:p>
    <w:p w:rsidR="003F76C5" w:rsidRDefault="00753900" w:rsidP="00E448D0">
      <w:r>
        <w:t xml:space="preserve">? Clinic </w:t>
      </w:r>
      <w:r w:rsidR="00E448D0">
        <w:t>Health &amp; Wellbeing is committed to eliminating discrimination and encouraging diversity amongst our workforce</w:t>
      </w:r>
      <w:r w:rsidR="00602387">
        <w:t xml:space="preserve"> and students we have on placement</w:t>
      </w:r>
      <w:r w:rsidR="00E448D0">
        <w:t>. Our aim is that our workforce will be truly representative of all sections of society and each employee</w:t>
      </w:r>
      <w:r w:rsidR="00602387">
        <w:t xml:space="preserve">, </w:t>
      </w:r>
      <w:r w:rsidR="00E448D0">
        <w:t xml:space="preserve">contractor </w:t>
      </w:r>
      <w:r w:rsidR="00602387">
        <w:t xml:space="preserve">or student </w:t>
      </w:r>
      <w:r w:rsidR="00E448D0">
        <w:t xml:space="preserve">feels respected and able to give of their best. </w:t>
      </w:r>
      <w:r w:rsidR="003F76C5">
        <w:t xml:space="preserve">To that end the purpose of this policy is to provide equality and fairness for all and not to discriminate on grounds of gender, marital status, race, ethnic origin, colour, nationality, national origin, disability, sexual orientation, religion or age. We oppose all forms of unlawful and unfair discrimination. </w:t>
      </w:r>
    </w:p>
    <w:p w:rsidR="00E448D0" w:rsidRDefault="003F76C5" w:rsidP="00E448D0">
      <w:r>
        <w:t>All employees</w:t>
      </w:r>
      <w:r w:rsidR="00602387">
        <w:t>,</w:t>
      </w:r>
      <w:r w:rsidR="009D5830">
        <w:t xml:space="preserve"> contractors</w:t>
      </w:r>
      <w:r w:rsidR="00602387">
        <w:t xml:space="preserve"> and students</w:t>
      </w:r>
      <w:r>
        <w:t xml:space="preserve">, whether part-time, full-time or temporary, will be treated fairly and with respect. Selection for employment, promotion, training or any other </w:t>
      </w:r>
      <w:r w:rsidR="00E448D0">
        <w:t>benefit</w:t>
      </w:r>
      <w:r>
        <w:t xml:space="preserve"> will be </w:t>
      </w:r>
      <w:r w:rsidR="00656CD4">
        <w:t>based on</w:t>
      </w:r>
      <w:r>
        <w:t xml:space="preserve"> aptitude and ability. All will be helped and encouraged to develop their full potential and the talents and resources of the workforce will be fully utilised to maximise the </w:t>
      </w:r>
      <w:r w:rsidR="00E448D0">
        <w:t>efficiency</w:t>
      </w:r>
      <w:r>
        <w:t xml:space="preserve"> of the organisation. </w:t>
      </w:r>
    </w:p>
    <w:p w:rsidR="0033763E" w:rsidRDefault="0033763E" w:rsidP="00E448D0">
      <w:pPr>
        <w:pStyle w:val="Heading1"/>
      </w:pPr>
      <w:bookmarkStart w:id="11" w:name="_Toc54862975"/>
      <w:r>
        <w:t>Our commitment</w:t>
      </w:r>
      <w:r w:rsidR="003C1BD7">
        <w:t xml:space="preserve"> to Staff and Contractors</w:t>
      </w:r>
      <w:bookmarkEnd w:id="11"/>
      <w:r w:rsidRPr="0033763E">
        <w:t xml:space="preserve"> </w:t>
      </w:r>
    </w:p>
    <w:p w:rsidR="00B339C8" w:rsidRDefault="00A57738" w:rsidP="00E448D0">
      <w:pPr>
        <w:pStyle w:val="ListParagraph"/>
        <w:ind w:left="360"/>
      </w:pPr>
      <w:r>
        <w:t xml:space="preserve">  </w:t>
      </w:r>
    </w:p>
    <w:p w:rsidR="00E448D0" w:rsidRDefault="00E448D0" w:rsidP="0093304B">
      <w:pPr>
        <w:pStyle w:val="ListParagraph"/>
        <w:numPr>
          <w:ilvl w:val="0"/>
          <w:numId w:val="11"/>
        </w:numPr>
      </w:pPr>
      <w:r>
        <w:t xml:space="preserve">To create an environment in which individual differences and the contributions of all our staff are recognised and valued. </w:t>
      </w:r>
    </w:p>
    <w:p w:rsidR="00E448D0" w:rsidRDefault="00E448D0" w:rsidP="0093304B">
      <w:pPr>
        <w:pStyle w:val="ListParagraph"/>
        <w:numPr>
          <w:ilvl w:val="0"/>
          <w:numId w:val="11"/>
        </w:numPr>
      </w:pPr>
      <w:r>
        <w:t>Every employee</w:t>
      </w:r>
      <w:r w:rsidR="00602387">
        <w:t xml:space="preserve">, </w:t>
      </w:r>
      <w:r w:rsidR="00907BFA">
        <w:t>contractor</w:t>
      </w:r>
      <w:r w:rsidR="00602387">
        <w:t xml:space="preserve"> and student</w:t>
      </w:r>
      <w:r>
        <w:t xml:space="preserve"> is entitled to a working environment that promotes dignity and respect to all. No form of intimidation, bullying or harassment will be tolerated. </w:t>
      </w:r>
    </w:p>
    <w:p w:rsidR="00E448D0" w:rsidRDefault="00E448D0" w:rsidP="0093304B">
      <w:pPr>
        <w:pStyle w:val="ListParagraph"/>
        <w:numPr>
          <w:ilvl w:val="0"/>
          <w:numId w:val="11"/>
        </w:numPr>
      </w:pPr>
      <w:r>
        <w:t xml:space="preserve">Training, development and progression opportunities are available to all staff. </w:t>
      </w:r>
    </w:p>
    <w:p w:rsidR="00E448D0" w:rsidRDefault="00E448D0" w:rsidP="0093304B">
      <w:pPr>
        <w:pStyle w:val="ListParagraph"/>
        <w:numPr>
          <w:ilvl w:val="0"/>
          <w:numId w:val="11"/>
        </w:numPr>
      </w:pPr>
      <w:r>
        <w:t xml:space="preserve">Equality in the workplace is good management practice and makes sound business sense. </w:t>
      </w:r>
    </w:p>
    <w:p w:rsidR="00E448D0" w:rsidRDefault="00E448D0" w:rsidP="0093304B">
      <w:pPr>
        <w:pStyle w:val="ListParagraph"/>
        <w:numPr>
          <w:ilvl w:val="0"/>
          <w:numId w:val="11"/>
        </w:numPr>
      </w:pPr>
      <w:r>
        <w:t xml:space="preserve">We will review </w:t>
      </w:r>
      <w:r w:rsidR="00907BFA">
        <w:t xml:space="preserve">this policy on an annual basis unless an incident arises and we will review following any such incident </w:t>
      </w:r>
      <w:r>
        <w:t xml:space="preserve">to ensure fairness. </w:t>
      </w:r>
    </w:p>
    <w:p w:rsidR="00E448D0" w:rsidRDefault="00E448D0" w:rsidP="0093304B">
      <w:pPr>
        <w:pStyle w:val="ListParagraph"/>
        <w:numPr>
          <w:ilvl w:val="0"/>
          <w:numId w:val="11"/>
        </w:numPr>
      </w:pPr>
      <w:r>
        <w:t xml:space="preserve">Breaches of our equality policy will be regarded as misconduct and could lead to disciplinary proceedings. </w:t>
      </w:r>
    </w:p>
    <w:p w:rsidR="00E448D0" w:rsidRDefault="00E448D0" w:rsidP="0093304B">
      <w:pPr>
        <w:pStyle w:val="ListParagraph"/>
        <w:numPr>
          <w:ilvl w:val="0"/>
          <w:numId w:val="11"/>
        </w:numPr>
      </w:pPr>
      <w:r>
        <w:t xml:space="preserve">This policy is fully supported by senior management and </w:t>
      </w:r>
      <w:r w:rsidR="00907BFA">
        <w:t>clinic director</w:t>
      </w:r>
      <w:r w:rsidR="00197390">
        <w:t>s</w:t>
      </w:r>
    </w:p>
    <w:p w:rsidR="003C1BD7" w:rsidRDefault="003C1BD7" w:rsidP="003C1BD7">
      <w:pPr>
        <w:pStyle w:val="Heading1"/>
      </w:pPr>
      <w:bookmarkStart w:id="12" w:name="_Toc54862976"/>
      <w:r>
        <w:t xml:space="preserve">Our commitment to </w:t>
      </w:r>
      <w:r w:rsidR="003D2DE2">
        <w:t>P</w:t>
      </w:r>
      <w:r>
        <w:t>atients</w:t>
      </w:r>
      <w:bookmarkEnd w:id="12"/>
      <w:r w:rsidRPr="0033763E">
        <w:t xml:space="preserve"> </w:t>
      </w:r>
    </w:p>
    <w:p w:rsidR="00EA4CAD" w:rsidRPr="00EA4CAD" w:rsidRDefault="00EA4CAD" w:rsidP="00EA4CAD">
      <w:pPr>
        <w:pStyle w:val="ListBullet2"/>
        <w:numPr>
          <w:ilvl w:val="0"/>
          <w:numId w:val="14"/>
        </w:numPr>
        <w:rPr>
          <w:sz w:val="24"/>
          <w:szCs w:val="24"/>
        </w:rPr>
      </w:pPr>
      <w:r w:rsidRPr="00EA4CAD">
        <w:rPr>
          <w:sz w:val="24"/>
          <w:szCs w:val="24"/>
        </w:rPr>
        <w:t xml:space="preserve">Patient dignity and privacy </w:t>
      </w:r>
      <w:r w:rsidR="00656CD4" w:rsidRPr="00EA4CAD">
        <w:rPr>
          <w:sz w:val="24"/>
          <w:szCs w:val="24"/>
        </w:rPr>
        <w:t>will always be respected</w:t>
      </w:r>
      <w:r w:rsidRPr="00EA4CAD">
        <w:rPr>
          <w:sz w:val="24"/>
          <w:szCs w:val="24"/>
        </w:rPr>
        <w:t xml:space="preserve">. </w:t>
      </w:r>
      <w:r w:rsidR="00753900">
        <w:rPr>
          <w:sz w:val="24"/>
          <w:szCs w:val="24"/>
        </w:rPr>
        <w:t xml:space="preserve">? Clinic </w:t>
      </w:r>
      <w:r w:rsidRPr="00EA4CAD">
        <w:rPr>
          <w:sz w:val="24"/>
          <w:szCs w:val="24"/>
        </w:rPr>
        <w:t xml:space="preserve">Health and Wellbeing expect that all patients should be treated by </w:t>
      </w:r>
      <w:r w:rsidR="00656CD4" w:rsidRPr="00EA4CAD">
        <w:rPr>
          <w:sz w:val="24"/>
          <w:szCs w:val="24"/>
        </w:rPr>
        <w:t>all</w:t>
      </w:r>
      <w:r w:rsidRPr="00EA4CAD">
        <w:rPr>
          <w:sz w:val="24"/>
          <w:szCs w:val="24"/>
        </w:rPr>
        <w:t xml:space="preserve"> their staff with courtesy and consideration, including being addressed by their preferred name and title. Bullying or harassment of patients is not tolerated and will be fully investigated should a complaint be made.</w:t>
      </w:r>
    </w:p>
    <w:p w:rsidR="00EA4CAD" w:rsidRDefault="00EA4CAD" w:rsidP="00EA4CAD">
      <w:pPr>
        <w:pStyle w:val="ListBullet2"/>
        <w:numPr>
          <w:ilvl w:val="0"/>
          <w:numId w:val="14"/>
        </w:numPr>
        <w:rPr>
          <w:sz w:val="24"/>
          <w:szCs w:val="24"/>
        </w:rPr>
      </w:pPr>
      <w:r w:rsidRPr="00EA4CAD">
        <w:rPr>
          <w:sz w:val="24"/>
          <w:szCs w:val="24"/>
        </w:rPr>
        <w:t xml:space="preserve">Patient’s privacy, dignity and confidentiality </w:t>
      </w:r>
      <w:r w:rsidR="00656CD4" w:rsidRPr="00EA4CAD">
        <w:rPr>
          <w:sz w:val="24"/>
          <w:szCs w:val="24"/>
        </w:rPr>
        <w:t>are always respected</w:t>
      </w:r>
      <w:r w:rsidRPr="00EA4CAD">
        <w:rPr>
          <w:sz w:val="24"/>
          <w:szCs w:val="24"/>
        </w:rPr>
        <w:t xml:space="preserve">. Consultations and treatments are held in individual rooms, with appropriate privacy using blinds or curtains if required. </w:t>
      </w:r>
    </w:p>
    <w:p w:rsidR="00EA4CAD" w:rsidRDefault="00EA4CAD" w:rsidP="00EA4CAD">
      <w:pPr>
        <w:pStyle w:val="ListBullet2"/>
        <w:numPr>
          <w:ilvl w:val="0"/>
          <w:numId w:val="14"/>
        </w:numPr>
        <w:rPr>
          <w:sz w:val="24"/>
          <w:szCs w:val="24"/>
        </w:rPr>
      </w:pPr>
      <w:r>
        <w:rPr>
          <w:sz w:val="24"/>
          <w:szCs w:val="24"/>
        </w:rPr>
        <w:t xml:space="preserve">Patients will be asked for consent </w:t>
      </w:r>
      <w:r w:rsidR="002B38BD">
        <w:rPr>
          <w:sz w:val="24"/>
          <w:szCs w:val="24"/>
        </w:rPr>
        <w:t>t</w:t>
      </w:r>
      <w:r>
        <w:rPr>
          <w:sz w:val="24"/>
          <w:szCs w:val="24"/>
        </w:rPr>
        <w:t>o a student being present and / or involved in their treatment.</w:t>
      </w:r>
    </w:p>
    <w:p w:rsidR="002B38BD" w:rsidRDefault="00A41466" w:rsidP="00EA4CAD">
      <w:pPr>
        <w:pStyle w:val="ListBullet2"/>
        <w:numPr>
          <w:ilvl w:val="0"/>
          <w:numId w:val="14"/>
        </w:numPr>
        <w:rPr>
          <w:sz w:val="24"/>
          <w:szCs w:val="24"/>
        </w:rPr>
      </w:pPr>
      <w:r>
        <w:rPr>
          <w:sz w:val="24"/>
          <w:szCs w:val="24"/>
        </w:rPr>
        <w:t>Patient’s</w:t>
      </w:r>
      <w:r w:rsidR="002B38BD">
        <w:rPr>
          <w:sz w:val="24"/>
          <w:szCs w:val="24"/>
        </w:rPr>
        <w:t xml:space="preserve"> </w:t>
      </w:r>
      <w:r w:rsidR="000227B8">
        <w:rPr>
          <w:sz w:val="24"/>
          <w:szCs w:val="24"/>
        </w:rPr>
        <w:t>wishes</w:t>
      </w:r>
      <w:r w:rsidR="002B38BD">
        <w:rPr>
          <w:sz w:val="24"/>
          <w:szCs w:val="24"/>
        </w:rPr>
        <w:t xml:space="preserve"> will be respected </w:t>
      </w:r>
      <w:r w:rsidR="00AE7319">
        <w:rPr>
          <w:sz w:val="24"/>
          <w:szCs w:val="24"/>
        </w:rPr>
        <w:t>including offering both male and female therapists when possible.</w:t>
      </w:r>
    </w:p>
    <w:p w:rsidR="00E7492F" w:rsidRDefault="00E7492F" w:rsidP="00EA4CAD">
      <w:pPr>
        <w:pStyle w:val="ListBullet2"/>
        <w:numPr>
          <w:ilvl w:val="0"/>
          <w:numId w:val="14"/>
        </w:numPr>
        <w:rPr>
          <w:sz w:val="24"/>
          <w:szCs w:val="24"/>
        </w:rPr>
      </w:pPr>
      <w:r>
        <w:rPr>
          <w:sz w:val="24"/>
          <w:szCs w:val="24"/>
        </w:rPr>
        <w:t>We will make every effort to ensure patients with disabilities have the best possible access to clinics and treatment rooms.</w:t>
      </w:r>
    </w:p>
    <w:p w:rsidR="00E424EE" w:rsidRPr="00EA4CAD" w:rsidRDefault="00E424EE" w:rsidP="00EA4CAD">
      <w:pPr>
        <w:pStyle w:val="ListBullet2"/>
        <w:numPr>
          <w:ilvl w:val="0"/>
          <w:numId w:val="14"/>
        </w:numPr>
        <w:rPr>
          <w:sz w:val="24"/>
          <w:szCs w:val="24"/>
        </w:rPr>
      </w:pPr>
      <w:r>
        <w:rPr>
          <w:sz w:val="24"/>
          <w:szCs w:val="24"/>
        </w:rPr>
        <w:t>Patients may at any or all appointments bring a friend or relative to sit in at the appointment.</w:t>
      </w:r>
    </w:p>
    <w:p w:rsidR="00EA4CAD" w:rsidRDefault="00EA4CAD" w:rsidP="00EA4CAD">
      <w:pPr>
        <w:pStyle w:val="ListBullet2"/>
        <w:numPr>
          <w:ilvl w:val="0"/>
          <w:numId w:val="14"/>
        </w:numPr>
        <w:rPr>
          <w:sz w:val="24"/>
          <w:szCs w:val="24"/>
        </w:rPr>
      </w:pPr>
      <w:r w:rsidRPr="00EA4CAD">
        <w:rPr>
          <w:sz w:val="24"/>
          <w:szCs w:val="24"/>
        </w:rPr>
        <w:t>Treatment of vulnerable adults &amp; children</w:t>
      </w:r>
      <w:proofErr w:type="gramStart"/>
      <w:r w:rsidRPr="00EA4CAD">
        <w:rPr>
          <w:sz w:val="24"/>
          <w:szCs w:val="24"/>
        </w:rPr>
        <w:t xml:space="preserve">: </w:t>
      </w:r>
      <w:r w:rsidR="00753900">
        <w:rPr>
          <w:sz w:val="24"/>
          <w:szCs w:val="24"/>
        </w:rPr>
        <w:t>?</w:t>
      </w:r>
      <w:proofErr w:type="gramEnd"/>
      <w:r w:rsidR="00753900">
        <w:rPr>
          <w:sz w:val="24"/>
          <w:szCs w:val="24"/>
        </w:rPr>
        <w:t xml:space="preserve"> </w:t>
      </w:r>
      <w:proofErr w:type="spellStart"/>
      <w:r w:rsidR="00753900">
        <w:rPr>
          <w:sz w:val="24"/>
          <w:szCs w:val="24"/>
        </w:rPr>
        <w:t>Clininc</w:t>
      </w:r>
      <w:proofErr w:type="spellEnd"/>
      <w:r w:rsidRPr="00EA4CAD">
        <w:rPr>
          <w:sz w:val="24"/>
          <w:szCs w:val="24"/>
        </w:rPr>
        <w:t xml:space="preserve"> Health and Wellbeing adhere to the following safeguarding principles in accordance with the following policies;</w:t>
      </w:r>
    </w:p>
    <w:p w:rsidR="00EA4CAD" w:rsidRDefault="00EA4CAD" w:rsidP="00EA4CAD">
      <w:pPr>
        <w:pStyle w:val="ListBullet2"/>
        <w:numPr>
          <w:ilvl w:val="1"/>
          <w:numId w:val="14"/>
        </w:numPr>
        <w:rPr>
          <w:sz w:val="24"/>
          <w:szCs w:val="24"/>
        </w:rPr>
      </w:pPr>
      <w:r>
        <w:t>The Department of Health Safeguarding Adults: The role of Health Services Practitioners (2011)</w:t>
      </w:r>
    </w:p>
    <w:p w:rsidR="00EA4CAD" w:rsidRDefault="00EA4CAD" w:rsidP="00EA4CAD">
      <w:pPr>
        <w:pStyle w:val="ListBullet2"/>
        <w:numPr>
          <w:ilvl w:val="1"/>
          <w:numId w:val="14"/>
        </w:numPr>
        <w:rPr>
          <w:sz w:val="24"/>
          <w:szCs w:val="24"/>
        </w:rPr>
      </w:pPr>
      <w:r>
        <w:t xml:space="preserve">Working Together </w:t>
      </w:r>
      <w:r w:rsidR="00E5141A">
        <w:t>to</w:t>
      </w:r>
      <w:r>
        <w:t xml:space="preserve"> Safeguard Children A guide to inter-agency working to safeguard and promote the welfare of children (2010)</w:t>
      </w:r>
    </w:p>
    <w:p w:rsidR="00EA4CAD" w:rsidRDefault="00EA4CAD" w:rsidP="00EA4CAD">
      <w:pPr>
        <w:pStyle w:val="ListBullet2"/>
        <w:numPr>
          <w:ilvl w:val="1"/>
          <w:numId w:val="14"/>
        </w:numPr>
        <w:rPr>
          <w:sz w:val="24"/>
          <w:szCs w:val="24"/>
        </w:rPr>
      </w:pPr>
      <w:r>
        <w:t>Manchester Patient Safety Framework (2006)</w:t>
      </w:r>
    </w:p>
    <w:p w:rsidR="00EA4CAD" w:rsidRDefault="00EA4CAD" w:rsidP="00EA4CAD">
      <w:pPr>
        <w:pStyle w:val="ListBullet2"/>
        <w:numPr>
          <w:ilvl w:val="1"/>
          <w:numId w:val="14"/>
        </w:numPr>
        <w:rPr>
          <w:sz w:val="24"/>
          <w:szCs w:val="24"/>
        </w:rPr>
      </w:pPr>
      <w:r>
        <w:t>The Sexual Offenses Act (2003)</w:t>
      </w:r>
    </w:p>
    <w:p w:rsidR="00EA4CAD" w:rsidRDefault="00EA4CAD" w:rsidP="00EA4CAD">
      <w:pPr>
        <w:pStyle w:val="ListBullet2"/>
        <w:numPr>
          <w:ilvl w:val="1"/>
          <w:numId w:val="14"/>
        </w:numPr>
        <w:rPr>
          <w:sz w:val="24"/>
          <w:szCs w:val="24"/>
        </w:rPr>
      </w:pPr>
      <w:r>
        <w:t xml:space="preserve">The NSPCC Child Protection </w:t>
      </w:r>
      <w:r w:rsidR="00E5141A">
        <w:t>Fact</w:t>
      </w:r>
      <w:r>
        <w:t xml:space="preserve"> Sheet (2010)</w:t>
      </w:r>
    </w:p>
    <w:p w:rsidR="00EA4CAD" w:rsidRDefault="00EA4CAD" w:rsidP="00EA4CAD">
      <w:pPr>
        <w:pStyle w:val="ListBullet2"/>
        <w:numPr>
          <w:ilvl w:val="1"/>
          <w:numId w:val="14"/>
        </w:numPr>
        <w:rPr>
          <w:sz w:val="24"/>
          <w:szCs w:val="24"/>
        </w:rPr>
      </w:pPr>
      <w:r>
        <w:t>Safeguarding Vulnerable Groups Act (2006)</w:t>
      </w:r>
    </w:p>
    <w:p w:rsidR="00EA4CAD" w:rsidRPr="00532561" w:rsidRDefault="00EA4CAD" w:rsidP="00EA4CAD">
      <w:pPr>
        <w:pStyle w:val="ListBullet2"/>
        <w:numPr>
          <w:ilvl w:val="1"/>
          <w:numId w:val="14"/>
        </w:numPr>
        <w:rPr>
          <w:sz w:val="24"/>
          <w:szCs w:val="24"/>
        </w:rPr>
      </w:pPr>
      <w:r>
        <w:t>Health and Social Care Act 2008</w:t>
      </w:r>
    </w:p>
    <w:p w:rsidR="00532561" w:rsidRPr="00EA4CAD" w:rsidRDefault="00E5141A" w:rsidP="00532561">
      <w:pPr>
        <w:pStyle w:val="ListBullet2"/>
        <w:numPr>
          <w:ilvl w:val="0"/>
          <w:numId w:val="14"/>
        </w:numPr>
        <w:rPr>
          <w:sz w:val="24"/>
          <w:szCs w:val="24"/>
        </w:rPr>
      </w:pPr>
      <w:r>
        <w:rPr>
          <w:rFonts w:cstheme="minorHAnsi"/>
        </w:rPr>
        <w:t>Therefore</w:t>
      </w:r>
      <w:proofErr w:type="gramStart"/>
      <w:r>
        <w:rPr>
          <w:rFonts w:cstheme="minorHAnsi"/>
        </w:rPr>
        <w:t>,</w:t>
      </w:r>
      <w:r w:rsidR="00532561">
        <w:rPr>
          <w:rFonts w:cstheme="minorHAnsi"/>
        </w:rPr>
        <w:t xml:space="preserve"> </w:t>
      </w:r>
      <w:r w:rsidR="00753900">
        <w:rPr>
          <w:rFonts w:cstheme="minorHAnsi"/>
        </w:rPr>
        <w:t>?</w:t>
      </w:r>
      <w:proofErr w:type="gramEnd"/>
      <w:r w:rsidR="00753900">
        <w:rPr>
          <w:rFonts w:cstheme="minorHAnsi"/>
        </w:rPr>
        <w:t xml:space="preserve"> Clinic </w:t>
      </w:r>
      <w:r w:rsidR="00532561">
        <w:rPr>
          <w:rFonts w:cstheme="minorHAnsi"/>
        </w:rPr>
        <w:t>Health and Wellbeing will not treat any patient under the age of 16 without the attendance of a parent or guardian at every treatment session unless a valid DBS certifi</w:t>
      </w:r>
      <w:r w:rsidR="00C532AF">
        <w:rPr>
          <w:rFonts w:cstheme="minorHAnsi"/>
        </w:rPr>
        <w:t>cate has been gained for that practitioner.</w:t>
      </w:r>
    </w:p>
    <w:p w:rsidR="00697482" w:rsidRDefault="00697482" w:rsidP="00697482">
      <w:pPr>
        <w:pStyle w:val="Heading1"/>
      </w:pPr>
      <w:bookmarkStart w:id="13" w:name="_Toc54862977"/>
      <w:r>
        <w:t>Monitoring of the Policy</w:t>
      </w:r>
      <w:bookmarkEnd w:id="13"/>
    </w:p>
    <w:p w:rsidR="00697482" w:rsidRDefault="00697482" w:rsidP="007A4C94">
      <w:r>
        <w:t>Following any incident and at annual review the management team will monitor how well this policy is working.</w:t>
      </w:r>
      <w:r w:rsidR="00795D1A">
        <w:t xml:space="preserve">  As we are a relatively small organisation there is no current need to do an </w:t>
      </w:r>
      <w:r w:rsidR="00656CD4">
        <w:t>in-depth</w:t>
      </w:r>
      <w:r w:rsidR="00795D1A">
        <w:t xml:space="preserve"> analysis as the management team are highly aware of the protected characteristics of all staff and contractors within the company.</w:t>
      </w:r>
    </w:p>
    <w:p w:rsidR="00697482" w:rsidRDefault="00504B6A" w:rsidP="00504B6A">
      <w:pPr>
        <w:pStyle w:val="Heading1"/>
      </w:pPr>
      <w:bookmarkStart w:id="14" w:name="_Toc54862978"/>
      <w:r>
        <w:t>Taking Action</w:t>
      </w:r>
      <w:bookmarkEnd w:id="14"/>
    </w:p>
    <w:p w:rsidR="00504B6A" w:rsidRDefault="00504B6A" w:rsidP="007A4C94">
      <w:r>
        <w:t xml:space="preserve">If following an incident or at annual review it becomes </w:t>
      </w:r>
      <w:r w:rsidR="00656CD4">
        <w:t>apparent,</w:t>
      </w:r>
      <w:r>
        <w:t xml:space="preserve"> we have an </w:t>
      </w:r>
      <w:r w:rsidR="00E5141A">
        <w:t>issue,</w:t>
      </w:r>
      <w:r>
        <w:t xml:space="preserve"> we will take appropriate action.  </w:t>
      </w:r>
    </w:p>
    <w:p w:rsidR="00504B6A" w:rsidRDefault="00504B6A" w:rsidP="007A4C94">
      <w:r>
        <w:t xml:space="preserve">Examples of this can be found </w:t>
      </w:r>
      <w:r w:rsidR="00E5141A">
        <w:t>below; -</w:t>
      </w:r>
    </w:p>
    <w:p w:rsidR="00504B6A" w:rsidRDefault="00504B6A" w:rsidP="00504B6A">
      <w:pPr>
        <w:pStyle w:val="ListParagraph"/>
        <w:numPr>
          <w:ilvl w:val="0"/>
          <w:numId w:val="12"/>
        </w:numPr>
      </w:pPr>
      <w:r>
        <w:t xml:space="preserve">If we find we are not attracting a diverse spread of </w:t>
      </w:r>
      <w:r w:rsidR="00E5141A">
        <w:t>candidates,</w:t>
      </w:r>
      <w:r>
        <w:t xml:space="preserve"> we will advertise more widely.</w:t>
      </w:r>
    </w:p>
    <w:p w:rsidR="00A32FAF" w:rsidRDefault="00504B6A" w:rsidP="00504B6A">
      <w:pPr>
        <w:pStyle w:val="ListParagraph"/>
        <w:numPr>
          <w:ilvl w:val="0"/>
          <w:numId w:val="12"/>
        </w:numPr>
      </w:pPr>
      <w:r>
        <w:t xml:space="preserve">If sections of the workforce are not progressing within the </w:t>
      </w:r>
      <w:r w:rsidR="00E5141A">
        <w:t>company,</w:t>
      </w:r>
      <w:r>
        <w:t xml:space="preserve"> we will review our appraisal system and contract reviews where progression through the company is discussed. </w:t>
      </w:r>
    </w:p>
    <w:p w:rsidR="00504B6A" w:rsidRDefault="00A32FAF" w:rsidP="00504B6A">
      <w:pPr>
        <w:pStyle w:val="ListParagraph"/>
        <w:numPr>
          <w:ilvl w:val="0"/>
          <w:numId w:val="12"/>
        </w:numPr>
      </w:pPr>
      <w:r>
        <w:t xml:space="preserve">If it highlighted that any individual is displaying behaviours that </w:t>
      </w:r>
      <w:r w:rsidR="00FF6B11">
        <w:t>contravene</w:t>
      </w:r>
      <w:r>
        <w:t xml:space="preserve"> this policy disciplinary procedures will be implemented and may lead to dismissal</w:t>
      </w:r>
      <w:r w:rsidR="0000244B">
        <w:t xml:space="preserve"> or termination of contract.</w:t>
      </w:r>
      <w:r w:rsidR="00504B6A">
        <w:t xml:space="preserve"> </w:t>
      </w:r>
    </w:p>
    <w:p w:rsidR="00A32FAF" w:rsidRDefault="00A32FAF" w:rsidP="00A32FAF">
      <w:pPr>
        <w:pStyle w:val="Heading1"/>
      </w:pPr>
      <w:bookmarkStart w:id="15" w:name="_Toc54862979"/>
      <w:r>
        <w:t>Notification and Record Keeping</w:t>
      </w:r>
      <w:bookmarkEnd w:id="15"/>
    </w:p>
    <w:p w:rsidR="00A32FAF" w:rsidRDefault="00A32FAF" w:rsidP="00DF6B45">
      <w:pPr>
        <w:pStyle w:val="NoSpacing"/>
        <w:rPr>
          <w:rFonts w:asciiTheme="minorHAnsi" w:hAnsiTheme="minorHAnsi" w:cstheme="minorHAnsi"/>
        </w:rPr>
      </w:pPr>
    </w:p>
    <w:p w:rsidR="00DF6B45" w:rsidRPr="002E60CB" w:rsidRDefault="00A32FAF" w:rsidP="00DF6B45">
      <w:pPr>
        <w:pStyle w:val="NoSpacing"/>
        <w:rPr>
          <w:rFonts w:asciiTheme="minorHAnsi" w:hAnsiTheme="minorHAnsi" w:cstheme="minorHAnsi"/>
        </w:rPr>
      </w:pPr>
      <w:r>
        <w:rPr>
          <w:rFonts w:asciiTheme="minorHAnsi" w:hAnsiTheme="minorHAnsi" w:cstheme="minorHAnsi"/>
        </w:rPr>
        <w:t xml:space="preserve">If you believe that you or any member of the management team, employee contractor or service user has been the victim or perpetrator of behaviour that contravenes this policy then please ensure the management team are notified immediately. </w:t>
      </w:r>
    </w:p>
    <w:p w:rsidR="00DC2D5D" w:rsidRDefault="00DC2D5D" w:rsidP="00DC2D5D">
      <w:pPr>
        <w:autoSpaceDE w:val="0"/>
        <w:autoSpaceDN w:val="0"/>
        <w:adjustRightInd w:val="0"/>
        <w:spacing w:after="0" w:line="240" w:lineRule="auto"/>
        <w:rPr>
          <w:rFonts w:cs="Calibri"/>
          <w:szCs w:val="24"/>
        </w:rPr>
      </w:pPr>
    </w:p>
    <w:p w:rsidR="00DC2D5D" w:rsidRDefault="00DC2D5D" w:rsidP="00DC2D5D">
      <w:pPr>
        <w:autoSpaceDE w:val="0"/>
        <w:autoSpaceDN w:val="0"/>
        <w:adjustRightInd w:val="0"/>
        <w:spacing w:after="0" w:line="240" w:lineRule="auto"/>
        <w:rPr>
          <w:rFonts w:cs="Calibri"/>
          <w:szCs w:val="24"/>
        </w:rPr>
      </w:pPr>
      <w:r>
        <w:rPr>
          <w:rFonts w:cs="Calibri"/>
          <w:szCs w:val="24"/>
        </w:rPr>
        <w:t xml:space="preserve">The management team at head office in liaison with the person concerned will fill in the accident and incident report form which is located in the </w:t>
      </w:r>
      <w:hyperlink r:id="rId11" w:history="1">
        <w:r w:rsidRPr="00E5141A">
          <w:rPr>
            <w:rStyle w:val="Hyperlink"/>
            <w:rFonts w:asciiTheme="minorHAnsi" w:hAnsiTheme="minorHAnsi" w:cs="Calibri"/>
            <w:b w:val="0"/>
            <w:color w:val="000000" w:themeColor="text1"/>
          </w:rPr>
          <w:t>Accident &amp; Incident forms folder</w:t>
        </w:r>
      </w:hyperlink>
      <w:r>
        <w:rPr>
          <w:rFonts w:cs="Calibri"/>
          <w:szCs w:val="24"/>
        </w:rPr>
        <w:t xml:space="preserve"> within the Health and Safety folder on the shared drive.  They will then decide the appropriate action to take including gaining legal advice if this is required.</w:t>
      </w:r>
    </w:p>
    <w:p w:rsidR="007A2F1B" w:rsidRDefault="007A2F1B" w:rsidP="00DC2D5D">
      <w:pPr>
        <w:autoSpaceDE w:val="0"/>
        <w:autoSpaceDN w:val="0"/>
        <w:adjustRightInd w:val="0"/>
        <w:spacing w:after="0" w:line="240" w:lineRule="auto"/>
        <w:rPr>
          <w:rFonts w:cs="Calibri"/>
          <w:szCs w:val="24"/>
        </w:rPr>
      </w:pPr>
    </w:p>
    <w:p w:rsidR="00DE0D03" w:rsidRDefault="0064547A" w:rsidP="00DE0D03">
      <w:r w:rsidRPr="00DE0D03">
        <w:rPr>
          <w:b/>
          <w:bCs/>
        </w:rPr>
        <w:t>Relevant documents</w:t>
      </w:r>
      <w:r w:rsidRPr="001A7EBD">
        <w:t xml:space="preserve"> – </w:t>
      </w:r>
      <w:r w:rsidR="00DE0D03">
        <w:t>The Equal Pay Act 1970</w:t>
      </w:r>
    </w:p>
    <w:p w:rsidR="00DE0D03" w:rsidRPr="00DE0D03" w:rsidRDefault="00DE0D03" w:rsidP="00DE0D03">
      <w:pPr>
        <w:pStyle w:val="ListParagraph"/>
        <w:numPr>
          <w:ilvl w:val="0"/>
          <w:numId w:val="7"/>
        </w:numPr>
        <w:rPr>
          <w:sz w:val="22"/>
        </w:rPr>
      </w:pPr>
      <w:r w:rsidRPr="00DE0D03">
        <w:rPr>
          <w:sz w:val="22"/>
        </w:rPr>
        <w:t>The Sex Discrimination Act 1975</w:t>
      </w:r>
    </w:p>
    <w:p w:rsidR="00DE0D03" w:rsidRPr="00DE0D03" w:rsidRDefault="00DE0D03" w:rsidP="00DE0D03">
      <w:pPr>
        <w:pStyle w:val="ListParagraph"/>
        <w:numPr>
          <w:ilvl w:val="0"/>
          <w:numId w:val="7"/>
        </w:numPr>
        <w:rPr>
          <w:sz w:val="22"/>
        </w:rPr>
      </w:pPr>
      <w:r w:rsidRPr="00DE0D03">
        <w:rPr>
          <w:sz w:val="22"/>
        </w:rPr>
        <w:t>The Race Relations Act 1976</w:t>
      </w:r>
    </w:p>
    <w:p w:rsidR="00DE0D03" w:rsidRPr="00DE0D03" w:rsidRDefault="00DE0D03" w:rsidP="00DE0D03">
      <w:pPr>
        <w:pStyle w:val="ListParagraph"/>
        <w:numPr>
          <w:ilvl w:val="0"/>
          <w:numId w:val="7"/>
        </w:numPr>
        <w:rPr>
          <w:sz w:val="22"/>
        </w:rPr>
      </w:pPr>
      <w:r w:rsidRPr="00DE0D03">
        <w:rPr>
          <w:sz w:val="22"/>
        </w:rPr>
        <w:t>The Disability Discrimination Act 1995</w:t>
      </w:r>
    </w:p>
    <w:p w:rsidR="00DE0D03" w:rsidRPr="00DE0D03" w:rsidRDefault="00DE0D03" w:rsidP="00DE0D03">
      <w:pPr>
        <w:pStyle w:val="ListParagraph"/>
        <w:numPr>
          <w:ilvl w:val="0"/>
          <w:numId w:val="7"/>
        </w:numPr>
        <w:rPr>
          <w:sz w:val="22"/>
        </w:rPr>
      </w:pPr>
      <w:r w:rsidRPr="00DE0D03">
        <w:rPr>
          <w:sz w:val="22"/>
        </w:rPr>
        <w:t>The Employment Equality Act (Religion or Belief) Regulations 2003</w:t>
      </w:r>
    </w:p>
    <w:p w:rsidR="00DE0D03" w:rsidRPr="00DE0D03" w:rsidRDefault="00DE0D03" w:rsidP="00DE0D03">
      <w:pPr>
        <w:pStyle w:val="ListParagraph"/>
        <w:numPr>
          <w:ilvl w:val="0"/>
          <w:numId w:val="7"/>
        </w:numPr>
        <w:rPr>
          <w:sz w:val="22"/>
        </w:rPr>
      </w:pPr>
      <w:r w:rsidRPr="00DE0D03">
        <w:rPr>
          <w:sz w:val="22"/>
        </w:rPr>
        <w:t>The Employment Equality (Sexual Orientation) Regulations 2003</w:t>
      </w:r>
    </w:p>
    <w:p w:rsidR="00DE0D03" w:rsidRPr="00DE0D03" w:rsidRDefault="00DE0D03" w:rsidP="00DE0D03">
      <w:pPr>
        <w:pStyle w:val="ListParagraph"/>
        <w:numPr>
          <w:ilvl w:val="0"/>
          <w:numId w:val="7"/>
        </w:numPr>
        <w:rPr>
          <w:sz w:val="22"/>
        </w:rPr>
      </w:pPr>
      <w:r w:rsidRPr="00DE0D03">
        <w:rPr>
          <w:sz w:val="22"/>
        </w:rPr>
        <w:t>The Employment Equality (Age) Regulations 2006</w:t>
      </w:r>
    </w:p>
    <w:p w:rsidR="00DE0D03" w:rsidRPr="00DE0D03" w:rsidRDefault="00DE0D03" w:rsidP="00DE0D03">
      <w:pPr>
        <w:pStyle w:val="ListParagraph"/>
        <w:numPr>
          <w:ilvl w:val="0"/>
          <w:numId w:val="7"/>
        </w:numPr>
        <w:rPr>
          <w:sz w:val="22"/>
        </w:rPr>
      </w:pPr>
      <w:r w:rsidRPr="00DE0D03">
        <w:rPr>
          <w:sz w:val="22"/>
        </w:rPr>
        <w:t>The Equality Act 2006, Part 2</w:t>
      </w:r>
    </w:p>
    <w:p w:rsidR="00DE0D03" w:rsidRPr="00DE0D03" w:rsidRDefault="00DE0D03" w:rsidP="00DE0D03">
      <w:pPr>
        <w:pStyle w:val="ListParagraph"/>
        <w:numPr>
          <w:ilvl w:val="0"/>
          <w:numId w:val="7"/>
        </w:numPr>
        <w:rPr>
          <w:sz w:val="22"/>
        </w:rPr>
      </w:pPr>
      <w:r w:rsidRPr="00DE0D03">
        <w:rPr>
          <w:sz w:val="22"/>
        </w:rPr>
        <w:t>The Equality Act (Sexual Orientation) Regulations 2007</w:t>
      </w:r>
    </w:p>
    <w:p w:rsidR="00D504F0" w:rsidRDefault="00D504F0" w:rsidP="00D504F0">
      <w:pPr>
        <w:pStyle w:val="Heading1"/>
        <w:rPr>
          <w:bCs w:val="0"/>
        </w:rPr>
      </w:pPr>
      <w:bookmarkStart w:id="16" w:name="_Toc54690277"/>
      <w:bookmarkStart w:id="17" w:name="_Toc54857261"/>
      <w:bookmarkStart w:id="18" w:name="_Toc54858719"/>
      <w:bookmarkStart w:id="19" w:name="_Toc54862980"/>
      <w:bookmarkStart w:id="20" w:name="_Hlk54857366"/>
      <w:r>
        <w:t>Document Control Details</w:t>
      </w:r>
      <w:bookmarkEnd w:id="16"/>
      <w:bookmarkEnd w:id="17"/>
      <w:bookmarkEnd w:id="18"/>
      <w:bookmarkEnd w:id="19"/>
    </w:p>
    <w:p w:rsidR="00D504F0" w:rsidRDefault="00D504F0" w:rsidP="00D504F0">
      <w:pPr>
        <w:pStyle w:val="NoSpacing"/>
      </w:pPr>
    </w:p>
    <w:p w:rsidR="00D504F0" w:rsidRPr="002731E5" w:rsidRDefault="00D504F0" w:rsidP="00D504F0">
      <w:pPr>
        <w:rPr>
          <w:rFonts w:cs="Calibri"/>
          <w:b/>
          <w:bCs/>
        </w:rPr>
      </w:pPr>
      <w:r w:rsidRPr="002731E5">
        <w:rPr>
          <w:rFonts w:cs="Calibri"/>
          <w:b/>
          <w:bCs/>
        </w:rPr>
        <w:t xml:space="preserve">Version - </w:t>
      </w:r>
      <w:r w:rsidRPr="002731E5">
        <w:rPr>
          <w:rFonts w:cs="Calibri"/>
        </w:rPr>
        <w:t>1</w:t>
      </w:r>
    </w:p>
    <w:p w:rsidR="0023493F" w:rsidRPr="002731E5" w:rsidRDefault="00D504F0" w:rsidP="0023493F">
      <w:pPr>
        <w:rPr>
          <w:rFonts w:cs="Calibri"/>
        </w:rPr>
      </w:pPr>
      <w:r w:rsidRPr="002731E5">
        <w:rPr>
          <w:rFonts w:cs="Calibri"/>
          <w:b/>
          <w:bCs/>
        </w:rPr>
        <w:t xml:space="preserve">Author &amp; Owner – </w:t>
      </w:r>
    </w:p>
    <w:p w:rsidR="0023493F" w:rsidRPr="002731E5" w:rsidRDefault="0023493F" w:rsidP="0023493F">
      <w:pPr>
        <w:rPr>
          <w:rFonts w:cs="Calibri"/>
        </w:rPr>
      </w:pPr>
      <w:r w:rsidRPr="002731E5">
        <w:rPr>
          <w:rFonts w:cs="Calibri"/>
          <w:b/>
          <w:bCs/>
        </w:rPr>
        <w:t>Signature</w:t>
      </w:r>
      <w:r w:rsidRPr="002731E5">
        <w:rPr>
          <w:rFonts w:cs="Calibri"/>
        </w:rPr>
        <w:t xml:space="preserve"> –  </w:t>
      </w:r>
      <w:r w:rsidRPr="002731E5">
        <w:rPr>
          <w:rFonts w:cs="Calibri"/>
        </w:rPr>
        <w:tab/>
      </w:r>
      <w:r w:rsidRPr="002731E5">
        <w:rPr>
          <w:rFonts w:cs="Calibri"/>
          <w:b/>
          <w:bCs/>
        </w:rPr>
        <w:t>Date</w:t>
      </w:r>
      <w:r w:rsidRPr="002731E5">
        <w:rPr>
          <w:rFonts w:cs="Calibri"/>
        </w:rPr>
        <w:t xml:space="preserve"> – </w:t>
      </w:r>
    </w:p>
    <w:p w:rsidR="00F74D1C" w:rsidRPr="002731E5" w:rsidRDefault="00D504F0" w:rsidP="00F74D1C">
      <w:pPr>
        <w:rPr>
          <w:rFonts w:cs="Calibri"/>
          <w:b/>
          <w:bCs/>
        </w:rPr>
      </w:pPr>
      <w:r w:rsidRPr="002731E5">
        <w:rPr>
          <w:rFonts w:cs="Calibri"/>
          <w:b/>
          <w:bCs/>
        </w:rPr>
        <w:t>Reviewed &amp; Approved By</w:t>
      </w:r>
      <w:r w:rsidRPr="002731E5">
        <w:rPr>
          <w:rFonts w:cs="Calibri"/>
        </w:rPr>
        <w:t xml:space="preserve"> – </w:t>
      </w:r>
    </w:p>
    <w:p w:rsidR="00D504F0" w:rsidRPr="002731E5" w:rsidRDefault="00F74D1C" w:rsidP="0023493F">
      <w:pPr>
        <w:rPr>
          <w:rFonts w:cs="Calibri"/>
        </w:rPr>
      </w:pPr>
      <w:r w:rsidRPr="002731E5">
        <w:rPr>
          <w:rFonts w:cs="Calibri"/>
          <w:b/>
          <w:bCs/>
        </w:rPr>
        <w:t>Signature</w:t>
      </w:r>
      <w:r w:rsidRPr="002731E5">
        <w:rPr>
          <w:rFonts w:cs="Calibri"/>
        </w:rPr>
        <w:t xml:space="preserve"> –  </w:t>
      </w:r>
      <w:r w:rsidRPr="002731E5">
        <w:rPr>
          <w:rFonts w:cs="Calibri"/>
        </w:rPr>
        <w:tab/>
      </w:r>
      <w:r w:rsidRPr="002731E5">
        <w:rPr>
          <w:rFonts w:cs="Calibri"/>
          <w:b/>
          <w:bCs/>
        </w:rPr>
        <w:t>Date</w:t>
      </w:r>
      <w:r w:rsidRPr="002731E5">
        <w:rPr>
          <w:rFonts w:cs="Calibri"/>
        </w:rPr>
        <w:t xml:space="preserve"> – </w:t>
      </w:r>
    </w:p>
    <w:bookmarkEnd w:id="20"/>
    <w:p w:rsidR="00A32FAF" w:rsidRPr="00085B74" w:rsidRDefault="00A32FAF" w:rsidP="00201CFA">
      <w:pPr>
        <w:spacing w:before="100" w:beforeAutospacing="1" w:after="100" w:afterAutospacing="1" w:line="240" w:lineRule="auto"/>
        <w:rPr>
          <w:rFonts w:eastAsia="Times New Roman" w:cstheme="minorHAnsi"/>
          <w:lang w:eastAsia="en-GB"/>
        </w:rPr>
      </w:pPr>
    </w:p>
    <w:sectPr w:rsidR="00A32FAF" w:rsidRPr="00085B74" w:rsidSect="00A83D95">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19E" w:rsidRDefault="0090219E" w:rsidP="006275EC">
      <w:pPr>
        <w:spacing w:after="0" w:line="240" w:lineRule="auto"/>
      </w:pPr>
      <w:r>
        <w:separator/>
      </w:r>
    </w:p>
  </w:endnote>
  <w:endnote w:type="continuationSeparator" w:id="0">
    <w:p w:rsidR="0090219E" w:rsidRDefault="0090219E" w:rsidP="00627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5EC" w:rsidRDefault="006275EC">
    <w:pPr>
      <w:pStyle w:val="Footer"/>
    </w:pPr>
  </w:p>
  <w:tbl>
    <w:tblPr>
      <w:tblW w:w="0" w:type="auto"/>
      <w:tblLook w:val="04A0" w:firstRow="1" w:lastRow="0" w:firstColumn="1" w:lastColumn="0" w:noHBand="0" w:noVBand="1"/>
    </w:tblPr>
    <w:tblGrid>
      <w:gridCol w:w="5094"/>
      <w:gridCol w:w="5094"/>
    </w:tblGrid>
    <w:tr w:rsidR="006275EC" w:rsidRPr="005F0D74" w:rsidTr="00753900">
      <w:trPr>
        <w:trHeight w:val="568"/>
      </w:trPr>
      <w:tc>
        <w:tcPr>
          <w:tcW w:w="5094" w:type="dxa"/>
          <w:shd w:val="clear" w:color="auto" w:fill="auto"/>
          <w:vAlign w:val="bottom"/>
        </w:tcPr>
        <w:p w:rsidR="006275EC" w:rsidRPr="00BE276B" w:rsidRDefault="006275EC" w:rsidP="006275EC">
          <w:pPr>
            <w:pStyle w:val="Footer"/>
            <w:rPr>
              <w:color w:val="00B050"/>
            </w:rPr>
          </w:pPr>
        </w:p>
      </w:tc>
      <w:tc>
        <w:tcPr>
          <w:tcW w:w="5094" w:type="dxa"/>
          <w:shd w:val="clear" w:color="auto" w:fill="auto"/>
        </w:tcPr>
        <w:p w:rsidR="006275EC" w:rsidRPr="005F0D74" w:rsidRDefault="006275EC" w:rsidP="006275EC">
          <w:pPr>
            <w:pStyle w:val="NoSpacing"/>
            <w:jc w:val="right"/>
            <w:rPr>
              <w:color w:val="00B050"/>
            </w:rPr>
          </w:pPr>
        </w:p>
      </w:tc>
    </w:tr>
  </w:tbl>
  <w:p w:rsidR="006275EC" w:rsidRDefault="006275EC" w:rsidP="00627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19E" w:rsidRDefault="0090219E" w:rsidP="006275EC">
      <w:pPr>
        <w:spacing w:after="0" w:line="240" w:lineRule="auto"/>
      </w:pPr>
      <w:r>
        <w:separator/>
      </w:r>
    </w:p>
  </w:footnote>
  <w:footnote w:type="continuationSeparator" w:id="0">
    <w:p w:rsidR="0090219E" w:rsidRDefault="0090219E" w:rsidP="006275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8090003"/>
    <w:lvl w:ilvl="0">
      <w:start w:val="1"/>
      <w:numFmt w:val="bullet"/>
      <w:lvlText w:val="o"/>
      <w:lvlJc w:val="left"/>
      <w:pPr>
        <w:ind w:left="643" w:hanging="360"/>
      </w:pPr>
      <w:rPr>
        <w:rFonts w:ascii="Courier New" w:hAnsi="Courier New" w:cs="Courier New" w:hint="default"/>
      </w:rPr>
    </w:lvl>
  </w:abstractNum>
  <w:abstractNum w:abstractNumId="1" w15:restartNumberingAfterBreak="0">
    <w:nsid w:val="0EF91DDF"/>
    <w:multiLevelType w:val="hybridMultilevel"/>
    <w:tmpl w:val="67B2B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466B5C"/>
    <w:multiLevelType w:val="hybridMultilevel"/>
    <w:tmpl w:val="E494B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A0CDC"/>
    <w:multiLevelType w:val="hybridMultilevel"/>
    <w:tmpl w:val="EA7AD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A24DFA"/>
    <w:multiLevelType w:val="hybridMultilevel"/>
    <w:tmpl w:val="6942A2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7A2F06"/>
    <w:multiLevelType w:val="hybridMultilevel"/>
    <w:tmpl w:val="82ACA46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C4E0E62"/>
    <w:multiLevelType w:val="multilevel"/>
    <w:tmpl w:val="FA12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09294A"/>
    <w:multiLevelType w:val="hybridMultilevel"/>
    <w:tmpl w:val="7A9EA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9E0551"/>
    <w:multiLevelType w:val="hybridMultilevel"/>
    <w:tmpl w:val="477CF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E9D578F"/>
    <w:multiLevelType w:val="hybridMultilevel"/>
    <w:tmpl w:val="B36A92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F40346E"/>
    <w:multiLevelType w:val="hybridMultilevel"/>
    <w:tmpl w:val="72FCA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195215"/>
    <w:multiLevelType w:val="hybridMultilevel"/>
    <w:tmpl w:val="531A9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48E299D"/>
    <w:multiLevelType w:val="hybridMultilevel"/>
    <w:tmpl w:val="35B82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E74E41"/>
    <w:multiLevelType w:val="multilevel"/>
    <w:tmpl w:val="A95A6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6"/>
  </w:num>
  <w:num w:numId="4">
    <w:abstractNumId w:val="13"/>
  </w:num>
  <w:num w:numId="5">
    <w:abstractNumId w:val="12"/>
  </w:num>
  <w:num w:numId="6">
    <w:abstractNumId w:val="7"/>
  </w:num>
  <w:num w:numId="7">
    <w:abstractNumId w:val="2"/>
  </w:num>
  <w:num w:numId="8">
    <w:abstractNumId w:val="0"/>
  </w:num>
  <w:num w:numId="9">
    <w:abstractNumId w:val="4"/>
  </w:num>
  <w:num w:numId="10">
    <w:abstractNumId w:val="8"/>
  </w:num>
  <w:num w:numId="11">
    <w:abstractNumId w:val="11"/>
  </w:num>
  <w:num w:numId="12">
    <w:abstractNumId w:val="3"/>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B45"/>
    <w:rsid w:val="0000244B"/>
    <w:rsid w:val="000227B8"/>
    <w:rsid w:val="00085B74"/>
    <w:rsid w:val="000E4A6C"/>
    <w:rsid w:val="00123E14"/>
    <w:rsid w:val="00124733"/>
    <w:rsid w:val="0014152F"/>
    <w:rsid w:val="0014182A"/>
    <w:rsid w:val="001757F4"/>
    <w:rsid w:val="0019369D"/>
    <w:rsid w:val="00195D50"/>
    <w:rsid w:val="00197390"/>
    <w:rsid w:val="001A15ED"/>
    <w:rsid w:val="001B5828"/>
    <w:rsid w:val="001F2DE0"/>
    <w:rsid w:val="00201CFA"/>
    <w:rsid w:val="0023493F"/>
    <w:rsid w:val="00240F46"/>
    <w:rsid w:val="00251939"/>
    <w:rsid w:val="00262AE7"/>
    <w:rsid w:val="00264A20"/>
    <w:rsid w:val="00270A7A"/>
    <w:rsid w:val="002910C1"/>
    <w:rsid w:val="002B38BD"/>
    <w:rsid w:val="002C3DFE"/>
    <w:rsid w:val="002E4D49"/>
    <w:rsid w:val="002E60CB"/>
    <w:rsid w:val="0033763E"/>
    <w:rsid w:val="003547D0"/>
    <w:rsid w:val="00377011"/>
    <w:rsid w:val="0038384E"/>
    <w:rsid w:val="003C1BD7"/>
    <w:rsid w:val="003C52A0"/>
    <w:rsid w:val="003D2DE2"/>
    <w:rsid w:val="003D58C9"/>
    <w:rsid w:val="003E7FB0"/>
    <w:rsid w:val="003F76C5"/>
    <w:rsid w:val="0041718A"/>
    <w:rsid w:val="00427EBE"/>
    <w:rsid w:val="00435305"/>
    <w:rsid w:val="0044330D"/>
    <w:rsid w:val="00456A53"/>
    <w:rsid w:val="004837B6"/>
    <w:rsid w:val="004964B5"/>
    <w:rsid w:val="004B5037"/>
    <w:rsid w:val="00504B6A"/>
    <w:rsid w:val="0050632C"/>
    <w:rsid w:val="00532561"/>
    <w:rsid w:val="00575BB9"/>
    <w:rsid w:val="005A2588"/>
    <w:rsid w:val="005A3EBE"/>
    <w:rsid w:val="005C279C"/>
    <w:rsid w:val="005F1806"/>
    <w:rsid w:val="00602387"/>
    <w:rsid w:val="006275EC"/>
    <w:rsid w:val="0064547A"/>
    <w:rsid w:val="00656CD4"/>
    <w:rsid w:val="006660EE"/>
    <w:rsid w:val="00695E50"/>
    <w:rsid w:val="00697482"/>
    <w:rsid w:val="006B6D0E"/>
    <w:rsid w:val="006E09EF"/>
    <w:rsid w:val="0070406E"/>
    <w:rsid w:val="0071164F"/>
    <w:rsid w:val="0074302C"/>
    <w:rsid w:val="007431A7"/>
    <w:rsid w:val="00753900"/>
    <w:rsid w:val="00795D1A"/>
    <w:rsid w:val="007A10FB"/>
    <w:rsid w:val="007A25B4"/>
    <w:rsid w:val="007A2F1B"/>
    <w:rsid w:val="007A4C94"/>
    <w:rsid w:val="007C4546"/>
    <w:rsid w:val="007D0561"/>
    <w:rsid w:val="007E37C2"/>
    <w:rsid w:val="008326BD"/>
    <w:rsid w:val="0089346C"/>
    <w:rsid w:val="008C022E"/>
    <w:rsid w:val="008E7330"/>
    <w:rsid w:val="0090219E"/>
    <w:rsid w:val="009047B4"/>
    <w:rsid w:val="00907BFA"/>
    <w:rsid w:val="009157BD"/>
    <w:rsid w:val="0093304B"/>
    <w:rsid w:val="009364E5"/>
    <w:rsid w:val="009811F8"/>
    <w:rsid w:val="009D5830"/>
    <w:rsid w:val="009E10DF"/>
    <w:rsid w:val="009E6420"/>
    <w:rsid w:val="00A1516E"/>
    <w:rsid w:val="00A15505"/>
    <w:rsid w:val="00A32FAF"/>
    <w:rsid w:val="00A41466"/>
    <w:rsid w:val="00A527C8"/>
    <w:rsid w:val="00A57738"/>
    <w:rsid w:val="00A82B58"/>
    <w:rsid w:val="00A83D95"/>
    <w:rsid w:val="00AD1EBC"/>
    <w:rsid w:val="00AE7319"/>
    <w:rsid w:val="00B045A9"/>
    <w:rsid w:val="00B156FB"/>
    <w:rsid w:val="00B15A96"/>
    <w:rsid w:val="00B16BEE"/>
    <w:rsid w:val="00B339C8"/>
    <w:rsid w:val="00B41FDE"/>
    <w:rsid w:val="00B774EA"/>
    <w:rsid w:val="00BB1DCA"/>
    <w:rsid w:val="00BB50EB"/>
    <w:rsid w:val="00BD78EB"/>
    <w:rsid w:val="00BE4EF6"/>
    <w:rsid w:val="00C053D0"/>
    <w:rsid w:val="00C429FF"/>
    <w:rsid w:val="00C46F3B"/>
    <w:rsid w:val="00C47A87"/>
    <w:rsid w:val="00C532AF"/>
    <w:rsid w:val="00C91CBF"/>
    <w:rsid w:val="00CA3B32"/>
    <w:rsid w:val="00CB5403"/>
    <w:rsid w:val="00CF3DA5"/>
    <w:rsid w:val="00CF5FCB"/>
    <w:rsid w:val="00CF7105"/>
    <w:rsid w:val="00D0406C"/>
    <w:rsid w:val="00D14166"/>
    <w:rsid w:val="00D312EC"/>
    <w:rsid w:val="00D504F0"/>
    <w:rsid w:val="00D841A1"/>
    <w:rsid w:val="00DC2D5D"/>
    <w:rsid w:val="00DE0D03"/>
    <w:rsid w:val="00DF61DD"/>
    <w:rsid w:val="00DF6B45"/>
    <w:rsid w:val="00E10AEB"/>
    <w:rsid w:val="00E152D7"/>
    <w:rsid w:val="00E424EE"/>
    <w:rsid w:val="00E448D0"/>
    <w:rsid w:val="00E50956"/>
    <w:rsid w:val="00E5141A"/>
    <w:rsid w:val="00E57A30"/>
    <w:rsid w:val="00E7492F"/>
    <w:rsid w:val="00E8435D"/>
    <w:rsid w:val="00EA2098"/>
    <w:rsid w:val="00EA4CAD"/>
    <w:rsid w:val="00EB5117"/>
    <w:rsid w:val="00EB765F"/>
    <w:rsid w:val="00ED2481"/>
    <w:rsid w:val="00EF5CBD"/>
    <w:rsid w:val="00EF7AD2"/>
    <w:rsid w:val="00F039F9"/>
    <w:rsid w:val="00F05978"/>
    <w:rsid w:val="00F74D1C"/>
    <w:rsid w:val="00FA2D4C"/>
    <w:rsid w:val="00FF1E97"/>
    <w:rsid w:val="00FF6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E96BBF-AF29-4F6A-9DCD-66684E6D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D95"/>
    <w:rPr>
      <w:sz w:val="24"/>
    </w:rPr>
  </w:style>
  <w:style w:type="paragraph" w:styleId="Heading1">
    <w:name w:val="heading 1"/>
    <w:basedOn w:val="NoSpacing"/>
    <w:next w:val="NoSpacing"/>
    <w:link w:val="Heading1Char"/>
    <w:uiPriority w:val="9"/>
    <w:qFormat/>
    <w:rsid w:val="0023493F"/>
    <w:pPr>
      <w:keepNext/>
      <w:keepLines/>
      <w:spacing w:before="48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23493F"/>
    <w:pPr>
      <w:keepNext/>
      <w:keepLines/>
      <w:spacing w:before="200" w:after="0"/>
      <w:outlineLvl w:val="1"/>
    </w:pPr>
    <w:rPr>
      <w:rFonts w:ascii="Calibri" w:eastAsiaTheme="majorEastAsia" w:hAnsi="Calibri"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6B45"/>
    <w:rPr>
      <w:rFonts w:ascii="Arial" w:hAnsi="Arial" w:cs="Arial" w:hint="default"/>
      <w:b/>
      <w:bCs/>
      <w:strike w:val="0"/>
      <w:dstrike w:val="0"/>
      <w:color w:val="0066CC"/>
      <w:sz w:val="24"/>
      <w:szCs w:val="24"/>
      <w:u w:val="none"/>
      <w:effect w:val="none"/>
    </w:rPr>
  </w:style>
  <w:style w:type="character" w:customStyle="1" w:styleId="aw">
    <w:name w:val="aw_"/>
    <w:basedOn w:val="DefaultParagraphFont"/>
    <w:rsid w:val="00DF6B45"/>
  </w:style>
  <w:style w:type="paragraph" w:styleId="NoSpacing">
    <w:name w:val="No Spacing"/>
    <w:link w:val="NoSpacingChar"/>
    <w:uiPriority w:val="1"/>
    <w:qFormat/>
    <w:rsid w:val="00EF7AD2"/>
    <w:pPr>
      <w:spacing w:after="0" w:line="240" w:lineRule="auto"/>
    </w:pPr>
    <w:rPr>
      <w:rFonts w:ascii="Calibri" w:eastAsia="Calibri" w:hAnsi="Calibri" w:cs="Times New Roman"/>
      <w:sz w:val="24"/>
    </w:rPr>
  </w:style>
  <w:style w:type="paragraph" w:styleId="ListParagraph">
    <w:name w:val="List Paragraph"/>
    <w:basedOn w:val="Normal"/>
    <w:uiPriority w:val="34"/>
    <w:qFormat/>
    <w:rsid w:val="004837B6"/>
    <w:pPr>
      <w:ind w:left="720"/>
      <w:contextualSpacing/>
    </w:pPr>
  </w:style>
  <w:style w:type="paragraph" w:styleId="NormalWeb">
    <w:name w:val="Normal (Web)"/>
    <w:basedOn w:val="Normal"/>
    <w:uiPriority w:val="99"/>
    <w:semiHidden/>
    <w:unhideWhenUsed/>
    <w:rsid w:val="003C52A0"/>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3C52A0"/>
    <w:rPr>
      <w:b/>
      <w:bCs/>
    </w:rPr>
  </w:style>
  <w:style w:type="character" w:customStyle="1" w:styleId="Heading1Char">
    <w:name w:val="Heading 1 Char"/>
    <w:basedOn w:val="DefaultParagraphFont"/>
    <w:link w:val="Heading1"/>
    <w:uiPriority w:val="9"/>
    <w:rsid w:val="0023493F"/>
    <w:rPr>
      <w:rFonts w:ascii="Calibri" w:eastAsiaTheme="majorEastAsia" w:hAnsi="Calibri" w:cstheme="majorBidi"/>
      <w:b/>
      <w:bCs/>
      <w:sz w:val="32"/>
      <w:szCs w:val="28"/>
    </w:rPr>
  </w:style>
  <w:style w:type="paragraph" w:styleId="List">
    <w:name w:val="List"/>
    <w:basedOn w:val="Normal"/>
    <w:uiPriority w:val="99"/>
    <w:semiHidden/>
    <w:unhideWhenUsed/>
    <w:rsid w:val="000E4A6C"/>
    <w:pPr>
      <w:spacing w:after="0" w:line="240" w:lineRule="auto"/>
      <w:ind w:left="283" w:hanging="283"/>
    </w:pPr>
    <w:rPr>
      <w:rFonts w:ascii="Calibri" w:eastAsia="Times New Roman" w:hAnsi="Calibri" w:cs="Times New Roman"/>
      <w:sz w:val="22"/>
    </w:rPr>
  </w:style>
  <w:style w:type="paragraph" w:styleId="ListBullet2">
    <w:name w:val="List Bullet 2"/>
    <w:basedOn w:val="Normal"/>
    <w:uiPriority w:val="99"/>
    <w:unhideWhenUsed/>
    <w:rsid w:val="000E4A6C"/>
    <w:pPr>
      <w:spacing w:after="0" w:line="240" w:lineRule="auto"/>
    </w:pPr>
    <w:rPr>
      <w:rFonts w:ascii="Calibri" w:eastAsia="Times New Roman" w:hAnsi="Calibri" w:cs="Times New Roman"/>
      <w:sz w:val="22"/>
    </w:rPr>
  </w:style>
  <w:style w:type="paragraph" w:styleId="BodyText">
    <w:name w:val="Body Text"/>
    <w:basedOn w:val="Normal"/>
    <w:link w:val="BodyTextChar"/>
    <w:uiPriority w:val="99"/>
    <w:semiHidden/>
    <w:unhideWhenUsed/>
    <w:rsid w:val="000E4A6C"/>
    <w:pPr>
      <w:spacing w:after="120" w:line="240" w:lineRule="auto"/>
    </w:pPr>
    <w:rPr>
      <w:rFonts w:ascii="Calibri" w:eastAsia="Times New Roman" w:hAnsi="Calibri" w:cs="Times New Roman"/>
      <w:sz w:val="22"/>
    </w:rPr>
  </w:style>
  <w:style w:type="character" w:customStyle="1" w:styleId="BodyTextChar">
    <w:name w:val="Body Text Char"/>
    <w:basedOn w:val="DefaultParagraphFont"/>
    <w:link w:val="BodyText"/>
    <w:uiPriority w:val="99"/>
    <w:semiHidden/>
    <w:rsid w:val="000E4A6C"/>
    <w:rPr>
      <w:rFonts w:ascii="Calibri" w:eastAsia="Times New Roman" w:hAnsi="Calibri" w:cs="Times New Roman"/>
    </w:rPr>
  </w:style>
  <w:style w:type="character" w:customStyle="1" w:styleId="Heading2Char">
    <w:name w:val="Heading 2 Char"/>
    <w:basedOn w:val="DefaultParagraphFont"/>
    <w:link w:val="Heading2"/>
    <w:uiPriority w:val="9"/>
    <w:rsid w:val="0023493F"/>
    <w:rPr>
      <w:rFonts w:ascii="Calibri" w:eastAsiaTheme="majorEastAsia" w:hAnsi="Calibri" w:cstheme="majorBidi"/>
      <w:b/>
      <w:bCs/>
      <w:sz w:val="28"/>
      <w:szCs w:val="26"/>
    </w:rPr>
  </w:style>
  <w:style w:type="paragraph" w:styleId="TOCHeading">
    <w:name w:val="TOC Heading"/>
    <w:basedOn w:val="Heading1"/>
    <w:next w:val="Normal"/>
    <w:uiPriority w:val="39"/>
    <w:semiHidden/>
    <w:unhideWhenUsed/>
    <w:qFormat/>
    <w:rsid w:val="009157BD"/>
    <w:pPr>
      <w:spacing w:line="276" w:lineRule="auto"/>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9157BD"/>
    <w:pPr>
      <w:spacing w:after="100"/>
    </w:pPr>
  </w:style>
  <w:style w:type="paragraph" w:styleId="TOC2">
    <w:name w:val="toc 2"/>
    <w:basedOn w:val="Normal"/>
    <w:next w:val="Normal"/>
    <w:autoRedefine/>
    <w:uiPriority w:val="39"/>
    <w:unhideWhenUsed/>
    <w:rsid w:val="009157BD"/>
    <w:pPr>
      <w:spacing w:after="100"/>
      <w:ind w:left="240"/>
    </w:pPr>
  </w:style>
  <w:style w:type="paragraph" w:styleId="BalloonText">
    <w:name w:val="Balloon Text"/>
    <w:basedOn w:val="Normal"/>
    <w:link w:val="BalloonTextChar"/>
    <w:uiPriority w:val="99"/>
    <w:semiHidden/>
    <w:unhideWhenUsed/>
    <w:rsid w:val="00915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7BD"/>
    <w:rPr>
      <w:rFonts w:ascii="Tahoma" w:hAnsi="Tahoma" w:cs="Tahoma"/>
      <w:sz w:val="16"/>
      <w:szCs w:val="16"/>
    </w:rPr>
  </w:style>
  <w:style w:type="character" w:styleId="FollowedHyperlink">
    <w:name w:val="FollowedHyperlink"/>
    <w:basedOn w:val="DefaultParagraphFont"/>
    <w:uiPriority w:val="99"/>
    <w:semiHidden/>
    <w:unhideWhenUsed/>
    <w:rsid w:val="002C3DFE"/>
    <w:rPr>
      <w:color w:val="800080" w:themeColor="followedHyperlink"/>
      <w:u w:val="single"/>
    </w:rPr>
  </w:style>
  <w:style w:type="character" w:customStyle="1" w:styleId="NoSpacingChar">
    <w:name w:val="No Spacing Char"/>
    <w:basedOn w:val="DefaultParagraphFont"/>
    <w:link w:val="NoSpacing"/>
    <w:uiPriority w:val="1"/>
    <w:rsid w:val="00B41FDE"/>
    <w:rPr>
      <w:rFonts w:ascii="Calibri" w:eastAsia="Calibri" w:hAnsi="Calibri" w:cs="Times New Roman"/>
      <w:sz w:val="24"/>
    </w:rPr>
  </w:style>
  <w:style w:type="table" w:styleId="TableGrid">
    <w:name w:val="Table Grid"/>
    <w:basedOn w:val="TableNormal"/>
    <w:uiPriority w:val="39"/>
    <w:rsid w:val="00D504F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7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5EC"/>
    <w:rPr>
      <w:sz w:val="24"/>
    </w:rPr>
  </w:style>
  <w:style w:type="paragraph" w:styleId="Footer">
    <w:name w:val="footer"/>
    <w:basedOn w:val="Normal"/>
    <w:link w:val="FooterChar"/>
    <w:uiPriority w:val="99"/>
    <w:unhideWhenUsed/>
    <w:rsid w:val="00627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5E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2614">
      <w:bodyDiv w:val="1"/>
      <w:marLeft w:val="0"/>
      <w:marRight w:val="0"/>
      <w:marTop w:val="0"/>
      <w:marBottom w:val="0"/>
      <w:divBdr>
        <w:top w:val="none" w:sz="0" w:space="0" w:color="auto"/>
        <w:left w:val="none" w:sz="0" w:space="0" w:color="auto"/>
        <w:bottom w:val="none" w:sz="0" w:space="0" w:color="auto"/>
        <w:right w:val="none" w:sz="0" w:space="0" w:color="auto"/>
      </w:divBdr>
      <w:divsChild>
        <w:div w:id="1405449318">
          <w:marLeft w:val="0"/>
          <w:marRight w:val="0"/>
          <w:marTop w:val="0"/>
          <w:marBottom w:val="0"/>
          <w:divBdr>
            <w:top w:val="none" w:sz="0" w:space="0" w:color="auto"/>
            <w:left w:val="none" w:sz="0" w:space="0" w:color="auto"/>
            <w:bottom w:val="none" w:sz="0" w:space="0" w:color="auto"/>
            <w:right w:val="none" w:sz="0" w:space="0" w:color="auto"/>
          </w:divBdr>
          <w:divsChild>
            <w:div w:id="283928322">
              <w:marLeft w:val="0"/>
              <w:marRight w:val="0"/>
              <w:marTop w:val="0"/>
              <w:marBottom w:val="0"/>
              <w:divBdr>
                <w:top w:val="none" w:sz="0" w:space="0" w:color="auto"/>
                <w:left w:val="none" w:sz="0" w:space="0" w:color="auto"/>
                <w:bottom w:val="none" w:sz="0" w:space="0" w:color="auto"/>
                <w:right w:val="none" w:sz="0" w:space="0" w:color="auto"/>
              </w:divBdr>
              <w:divsChild>
                <w:div w:id="970285373">
                  <w:marLeft w:val="0"/>
                  <w:marRight w:val="0"/>
                  <w:marTop w:val="0"/>
                  <w:marBottom w:val="0"/>
                  <w:divBdr>
                    <w:top w:val="none" w:sz="0" w:space="0" w:color="auto"/>
                    <w:left w:val="none" w:sz="0" w:space="0" w:color="auto"/>
                    <w:bottom w:val="none" w:sz="0" w:space="0" w:color="auto"/>
                    <w:right w:val="none" w:sz="0" w:space="0" w:color="auto"/>
                  </w:divBdr>
                  <w:divsChild>
                    <w:div w:id="30804781">
                      <w:marLeft w:val="0"/>
                      <w:marRight w:val="0"/>
                      <w:marTop w:val="0"/>
                      <w:marBottom w:val="0"/>
                      <w:divBdr>
                        <w:top w:val="none" w:sz="0" w:space="0" w:color="auto"/>
                        <w:left w:val="none" w:sz="0" w:space="0" w:color="auto"/>
                        <w:bottom w:val="none" w:sz="0" w:space="0" w:color="auto"/>
                        <w:right w:val="none" w:sz="0" w:space="0" w:color="auto"/>
                      </w:divBdr>
                      <w:divsChild>
                        <w:div w:id="11659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605368">
      <w:bodyDiv w:val="1"/>
      <w:marLeft w:val="0"/>
      <w:marRight w:val="0"/>
      <w:marTop w:val="0"/>
      <w:marBottom w:val="0"/>
      <w:divBdr>
        <w:top w:val="none" w:sz="0" w:space="0" w:color="auto"/>
        <w:left w:val="none" w:sz="0" w:space="0" w:color="auto"/>
        <w:bottom w:val="none" w:sz="0" w:space="0" w:color="auto"/>
        <w:right w:val="none" w:sz="0" w:space="0" w:color="auto"/>
      </w:divBdr>
    </w:div>
    <w:div w:id="1127813599">
      <w:bodyDiv w:val="1"/>
      <w:marLeft w:val="0"/>
      <w:marRight w:val="0"/>
      <w:marTop w:val="0"/>
      <w:marBottom w:val="0"/>
      <w:divBdr>
        <w:top w:val="none" w:sz="0" w:space="0" w:color="auto"/>
        <w:left w:val="none" w:sz="0" w:space="0" w:color="auto"/>
        <w:bottom w:val="none" w:sz="0" w:space="0" w:color="auto"/>
        <w:right w:val="none" w:sz="0" w:space="0" w:color="auto"/>
      </w:divBdr>
      <w:divsChild>
        <w:div w:id="195705064">
          <w:marLeft w:val="0"/>
          <w:marRight w:val="0"/>
          <w:marTop w:val="0"/>
          <w:marBottom w:val="0"/>
          <w:divBdr>
            <w:top w:val="none" w:sz="0" w:space="0" w:color="auto"/>
            <w:left w:val="none" w:sz="0" w:space="0" w:color="auto"/>
            <w:bottom w:val="none" w:sz="0" w:space="0" w:color="auto"/>
            <w:right w:val="none" w:sz="0" w:space="0" w:color="auto"/>
          </w:divBdr>
          <w:divsChild>
            <w:div w:id="489449469">
              <w:marLeft w:val="0"/>
              <w:marRight w:val="0"/>
              <w:marTop w:val="0"/>
              <w:marBottom w:val="0"/>
              <w:divBdr>
                <w:top w:val="none" w:sz="0" w:space="0" w:color="auto"/>
                <w:left w:val="none" w:sz="0" w:space="0" w:color="auto"/>
                <w:bottom w:val="none" w:sz="0" w:space="0" w:color="auto"/>
                <w:right w:val="none" w:sz="0" w:space="0" w:color="auto"/>
              </w:divBdr>
              <w:divsChild>
                <w:div w:id="1306859092">
                  <w:marLeft w:val="0"/>
                  <w:marRight w:val="0"/>
                  <w:marTop w:val="0"/>
                  <w:marBottom w:val="0"/>
                  <w:divBdr>
                    <w:top w:val="none" w:sz="0" w:space="0" w:color="auto"/>
                    <w:left w:val="none" w:sz="0" w:space="0" w:color="auto"/>
                    <w:bottom w:val="none" w:sz="0" w:space="0" w:color="auto"/>
                    <w:right w:val="none" w:sz="0" w:space="0" w:color="auto"/>
                  </w:divBdr>
                  <w:divsChild>
                    <w:div w:id="461047420">
                      <w:marLeft w:val="0"/>
                      <w:marRight w:val="0"/>
                      <w:marTop w:val="0"/>
                      <w:marBottom w:val="0"/>
                      <w:divBdr>
                        <w:top w:val="none" w:sz="0" w:space="0" w:color="auto"/>
                        <w:left w:val="none" w:sz="0" w:space="0" w:color="auto"/>
                        <w:bottom w:val="none" w:sz="0" w:space="0" w:color="auto"/>
                        <w:right w:val="none" w:sz="0" w:space="0" w:color="auto"/>
                      </w:divBdr>
                      <w:divsChild>
                        <w:div w:id="735707537">
                          <w:marLeft w:val="0"/>
                          <w:marRight w:val="0"/>
                          <w:marTop w:val="0"/>
                          <w:marBottom w:val="0"/>
                          <w:divBdr>
                            <w:top w:val="none" w:sz="0" w:space="0" w:color="auto"/>
                            <w:left w:val="none" w:sz="0" w:space="0" w:color="auto"/>
                            <w:bottom w:val="none" w:sz="0" w:space="0" w:color="auto"/>
                            <w:right w:val="none" w:sz="0" w:space="0" w:color="auto"/>
                          </w:divBdr>
                          <w:divsChild>
                            <w:div w:id="1081634992">
                              <w:marLeft w:val="0"/>
                              <w:marRight w:val="0"/>
                              <w:marTop w:val="0"/>
                              <w:marBottom w:val="0"/>
                              <w:divBdr>
                                <w:top w:val="none" w:sz="0" w:space="0" w:color="auto"/>
                                <w:left w:val="none" w:sz="0" w:space="0" w:color="auto"/>
                                <w:bottom w:val="none" w:sz="0" w:space="0" w:color="auto"/>
                                <w:right w:val="none" w:sz="0" w:space="0" w:color="auto"/>
                              </w:divBdr>
                              <w:divsChild>
                                <w:div w:id="198549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25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S:\Documents\Health%20&amp;%20Safety\Accident%20&amp;%20Incident%20form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76FBA6BC1B434198668E24607B9056" ma:contentTypeVersion="12" ma:contentTypeDescription="Create a new document." ma:contentTypeScope="" ma:versionID="5867010c4614e4b8a72f8a00bf181ecb">
  <xsd:schema xmlns:xsd="http://www.w3.org/2001/XMLSchema" xmlns:xs="http://www.w3.org/2001/XMLSchema" xmlns:p="http://schemas.microsoft.com/office/2006/metadata/properties" xmlns:ns2="718152cd-269a-449e-993e-29906bf17a28" xmlns:ns3="8a393f08-0844-46d9-b120-ec959d054e0d" targetNamespace="http://schemas.microsoft.com/office/2006/metadata/properties" ma:root="true" ma:fieldsID="088dc5ecf4d03468f450e6c21a4cfcf0" ns2:_="" ns3:_="">
    <xsd:import namespace="718152cd-269a-449e-993e-29906bf17a28"/>
    <xsd:import namespace="8a393f08-0844-46d9-b120-ec959d054e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152cd-269a-449e-993e-29906bf17a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393f08-0844-46d9-b120-ec959d054e0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2E71D5-14C0-45D9-A9EF-41DEB5B80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152cd-269a-449e-993e-29906bf17a28"/>
    <ds:schemaRef ds:uri="8a393f08-0844-46d9-b120-ec959d054e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ABEEA4-B50D-4686-B313-038687CFE1D3}">
  <ds:schemaRefs>
    <ds:schemaRef ds:uri="http://schemas.microsoft.com/sharepoint/v3/contenttype/forms"/>
  </ds:schemaRefs>
</ds:datastoreItem>
</file>

<file path=customXml/itemProps3.xml><?xml version="1.0" encoding="utf-8"?>
<ds:datastoreItem xmlns:ds="http://schemas.openxmlformats.org/officeDocument/2006/customXml" ds:itemID="{123365F1-CDE6-4EB7-A3F9-1DF5DC6D42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A85FDD-9B30-4CFA-A960-7B2AD3A2A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1746</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Crescent1</dc:creator>
  <cp:keywords/>
  <dc:description/>
  <cp:lastModifiedBy>Gemma Graham</cp:lastModifiedBy>
  <cp:revision>1</cp:revision>
  <dcterms:created xsi:type="dcterms:W3CDTF">2021-02-05T14:42:00Z</dcterms:created>
  <dcterms:modified xsi:type="dcterms:W3CDTF">2021-02-05T14:42:00Z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0x0101003C76FBA6BC1B434198668E24607B9056</vt:lpwstr>
  </property>
</Properties>
</file>